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0CA25" w14:textId="1FA5A383" w:rsidR="00AD6966" w:rsidRDefault="000776E9" w:rsidP="00337A1D">
      <w:bookmarkStart w:id="0" w:name="_GoBack"/>
      <w:bookmarkEnd w:id="0"/>
      <w:r w:rsidRPr="001112A4">
        <w:rPr>
          <w:b/>
        </w:rPr>
        <w:t>Project Title</w:t>
      </w:r>
      <w:r>
        <w:t>:</w:t>
      </w:r>
      <w:r w:rsidR="00AD252C">
        <w:t xml:space="preserve"> </w:t>
      </w:r>
      <w:r w:rsidR="00634123">
        <w:rPr>
          <w:b/>
          <w:u w:val="single"/>
        </w:rPr>
        <w:t>Stabilization to Recovery Transition (START) in Libya</w:t>
      </w:r>
    </w:p>
    <w:p w14:paraId="05E7ADA9" w14:textId="1019C3A1" w:rsidR="003731DF" w:rsidRDefault="003731DF" w:rsidP="00337A1D">
      <w:pPr>
        <w:rPr>
          <w:b/>
        </w:rPr>
      </w:pPr>
      <w:r w:rsidRPr="00326679">
        <w:rPr>
          <w:b/>
        </w:rPr>
        <w:t>Project</w:t>
      </w:r>
      <w:r>
        <w:rPr>
          <w:b/>
        </w:rPr>
        <w:t xml:space="preserve"> Number</w:t>
      </w:r>
      <w:r w:rsidRPr="00326679">
        <w:rPr>
          <w:b/>
        </w:rPr>
        <w:t>:</w:t>
      </w:r>
      <w:r w:rsidR="00976C16">
        <w:rPr>
          <w:b/>
        </w:rPr>
        <w:t xml:space="preserve"> </w:t>
      </w:r>
      <w:r w:rsidR="00E755E7">
        <w:rPr>
          <w:rStyle w:val="pseditboxdisponly"/>
        </w:rPr>
        <w:t>00119794</w:t>
      </w:r>
    </w:p>
    <w:p w14:paraId="23FDD30F" w14:textId="77777777" w:rsidR="000776E9" w:rsidRDefault="000776E9" w:rsidP="00337A1D">
      <w:pPr>
        <w:rPr>
          <w:b/>
        </w:rPr>
      </w:pPr>
      <w:r w:rsidRPr="001112A4">
        <w:rPr>
          <w:b/>
        </w:rPr>
        <w:t>Implementing Partner:</w:t>
      </w:r>
      <w:r w:rsidR="00AD252C">
        <w:rPr>
          <w:b/>
        </w:rPr>
        <w:t xml:space="preserve"> UNDP</w:t>
      </w:r>
    </w:p>
    <w:p w14:paraId="5B96B5CC" w14:textId="65805400" w:rsidR="00FA4BF8" w:rsidRDefault="00FA4BF8" w:rsidP="00337A1D">
      <w:r w:rsidRPr="00326679">
        <w:rPr>
          <w:b/>
        </w:rPr>
        <w:t>Start Date:</w:t>
      </w:r>
      <w:r w:rsidR="00AD252C">
        <w:rPr>
          <w:b/>
        </w:rPr>
        <w:t xml:space="preserve"> </w:t>
      </w:r>
      <w:r w:rsidR="00AD252C" w:rsidRPr="00E703D7">
        <w:rPr>
          <w:bCs/>
        </w:rPr>
        <w:t>March 20</w:t>
      </w:r>
      <w:r w:rsidR="00634123" w:rsidRPr="00E703D7">
        <w:rPr>
          <w:bCs/>
        </w:rPr>
        <w:t>20</w:t>
      </w:r>
      <w:r>
        <w:tab/>
      </w:r>
      <w:r w:rsidRPr="00326679">
        <w:rPr>
          <w:b/>
        </w:rPr>
        <w:t>End Date:</w:t>
      </w:r>
      <w:r>
        <w:t xml:space="preserve"> </w:t>
      </w:r>
      <w:r w:rsidR="00AD252C">
        <w:t>February 202</w:t>
      </w:r>
      <w:r w:rsidR="00634123">
        <w:t>1</w:t>
      </w:r>
      <w:r w:rsidR="00AD252C">
        <w:t xml:space="preserve"> </w:t>
      </w:r>
      <w:r>
        <w:tab/>
      </w:r>
      <w:r w:rsidRPr="00326679">
        <w:rPr>
          <w:b/>
        </w:rPr>
        <w:t>PAC Meeting date:</w:t>
      </w:r>
      <w:r>
        <w:t xml:space="preserve"> </w:t>
      </w:r>
      <w:r>
        <w:tab/>
      </w:r>
    </w:p>
    <w:p w14:paraId="3FC93AA9" w14:textId="77777777" w:rsidR="000776E9" w:rsidRDefault="000776E9" w:rsidP="000776E9">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14:paraId="0D9AF0A9" w14:textId="77777777" w:rsidTr="00C57A18">
        <w:trPr>
          <w:trHeight w:val="361"/>
        </w:trPr>
        <w:tc>
          <w:tcPr>
            <w:tcW w:w="9740" w:type="dxa"/>
            <w:shd w:val="clear" w:color="auto" w:fill="auto"/>
            <w:vAlign w:val="center"/>
          </w:tcPr>
          <w:p w14:paraId="25DC4049" w14:textId="77777777" w:rsidR="000776E9" w:rsidRPr="000776E9" w:rsidRDefault="000776E9" w:rsidP="00337A1D">
            <w:pPr>
              <w:spacing w:after="0"/>
              <w:jc w:val="center"/>
              <w:rPr>
                <w:b/>
              </w:rPr>
            </w:pPr>
            <w:r w:rsidRPr="000776E9">
              <w:rPr>
                <w:b/>
              </w:rPr>
              <w:t>Brief Description</w:t>
            </w:r>
          </w:p>
        </w:tc>
      </w:tr>
      <w:tr w:rsidR="00AD6966" w14:paraId="37047745" w14:textId="77777777" w:rsidTr="00554D50">
        <w:trPr>
          <w:trHeight w:val="4135"/>
        </w:trPr>
        <w:tc>
          <w:tcPr>
            <w:tcW w:w="9740" w:type="dxa"/>
            <w:shd w:val="clear" w:color="auto" w:fill="auto"/>
          </w:tcPr>
          <w:p w14:paraId="1C3ACCCB" w14:textId="236E740C" w:rsidR="003440E1" w:rsidRPr="00CD35DA" w:rsidRDefault="00ED4C23" w:rsidP="00C42D9F">
            <w:pPr>
              <w:pStyle w:val="FootnoteText"/>
              <w:spacing w:before="120"/>
              <w:rPr>
                <w:rFonts w:ascii="Arial" w:hAnsi="Arial" w:cs="Arial"/>
                <w:iCs/>
                <w:szCs w:val="22"/>
              </w:rPr>
            </w:pPr>
            <w:r w:rsidRPr="00CD35DA">
              <w:rPr>
                <w:rFonts w:ascii="Arial" w:hAnsi="Arial" w:cs="Arial"/>
                <w:iCs/>
                <w:szCs w:val="22"/>
              </w:rPr>
              <w:t xml:space="preserve">Despite the deepening political divisions in Libya, </w:t>
            </w:r>
            <w:r w:rsidR="001C4846" w:rsidRPr="00CD35DA">
              <w:rPr>
                <w:rFonts w:ascii="Arial" w:hAnsi="Arial" w:cs="Arial"/>
                <w:iCs/>
                <w:szCs w:val="22"/>
              </w:rPr>
              <w:t>UNDP</w:t>
            </w:r>
            <w:r w:rsidR="00B075C8">
              <w:rPr>
                <w:rFonts w:ascii="Arial" w:hAnsi="Arial" w:cs="Arial"/>
                <w:iCs/>
                <w:szCs w:val="22"/>
              </w:rPr>
              <w:t>,</w:t>
            </w:r>
            <w:r w:rsidR="001C4846" w:rsidRPr="00CD35DA">
              <w:rPr>
                <w:rFonts w:ascii="Arial" w:hAnsi="Arial" w:cs="Arial"/>
                <w:iCs/>
                <w:szCs w:val="22"/>
              </w:rPr>
              <w:t xml:space="preserve"> in partnership with community</w:t>
            </w:r>
            <w:r w:rsidR="004571E2">
              <w:rPr>
                <w:rFonts w:ascii="Arial" w:hAnsi="Arial" w:cs="Arial"/>
                <w:iCs/>
                <w:szCs w:val="22"/>
              </w:rPr>
              <w:t xml:space="preserve">, government </w:t>
            </w:r>
            <w:r w:rsidR="001C4846" w:rsidRPr="00CD35DA">
              <w:rPr>
                <w:rFonts w:ascii="Arial" w:hAnsi="Arial" w:cs="Arial"/>
                <w:iCs/>
                <w:szCs w:val="22"/>
              </w:rPr>
              <w:t>representatives and organizations</w:t>
            </w:r>
            <w:r w:rsidR="00626038">
              <w:rPr>
                <w:rFonts w:ascii="Arial" w:hAnsi="Arial" w:cs="Arial"/>
                <w:iCs/>
                <w:szCs w:val="22"/>
              </w:rPr>
              <w:t>,</w:t>
            </w:r>
            <w:r w:rsidR="001C4846" w:rsidRPr="00CD35DA">
              <w:rPr>
                <w:rFonts w:ascii="Arial" w:hAnsi="Arial" w:cs="Arial"/>
                <w:iCs/>
                <w:szCs w:val="22"/>
              </w:rPr>
              <w:t xml:space="preserve"> have made </w:t>
            </w:r>
            <w:r w:rsidRPr="00CD35DA">
              <w:rPr>
                <w:rFonts w:ascii="Arial" w:hAnsi="Arial" w:cs="Arial"/>
                <w:iCs/>
                <w:szCs w:val="22"/>
              </w:rPr>
              <w:t>progress at</w:t>
            </w:r>
            <w:r w:rsidR="001C4846" w:rsidRPr="00CD35DA">
              <w:rPr>
                <w:rFonts w:ascii="Arial" w:hAnsi="Arial" w:cs="Arial"/>
                <w:iCs/>
                <w:szCs w:val="22"/>
              </w:rPr>
              <w:t xml:space="preserve"> the local level in stabilizing conflict-affected areas</w:t>
            </w:r>
            <w:r w:rsidR="00976C16">
              <w:rPr>
                <w:rFonts w:ascii="Arial" w:hAnsi="Arial" w:cs="Arial"/>
                <w:iCs/>
                <w:szCs w:val="22"/>
              </w:rPr>
              <w:t xml:space="preserve"> and contributed to improving the lives of the people affected by the conflict</w:t>
            </w:r>
            <w:r w:rsidR="001C4846" w:rsidRPr="00CD35DA">
              <w:rPr>
                <w:rFonts w:ascii="Arial" w:hAnsi="Arial" w:cs="Arial"/>
                <w:iCs/>
                <w:szCs w:val="22"/>
              </w:rPr>
              <w:t xml:space="preserve">. UNDP’s project </w:t>
            </w:r>
            <w:r w:rsidR="00111568">
              <w:rPr>
                <w:rFonts w:ascii="Arial" w:hAnsi="Arial" w:cs="Arial"/>
                <w:iCs/>
                <w:szCs w:val="22"/>
              </w:rPr>
              <w:t xml:space="preserve">has been </w:t>
            </w:r>
            <w:r w:rsidR="001C4846" w:rsidRPr="00CD35DA">
              <w:rPr>
                <w:rFonts w:ascii="Arial" w:hAnsi="Arial" w:cs="Arial"/>
                <w:iCs/>
                <w:szCs w:val="22"/>
              </w:rPr>
              <w:t xml:space="preserve">supporting local governments to improve basic services, security, and early economic recovery. </w:t>
            </w:r>
          </w:p>
          <w:p w14:paraId="5512383E" w14:textId="51666C81" w:rsidR="00E703D7" w:rsidRPr="00ED4C23" w:rsidRDefault="001C4846" w:rsidP="001C4846">
            <w:pPr>
              <w:pStyle w:val="FootnoteText"/>
              <w:spacing w:before="120"/>
              <w:rPr>
                <w:iCs/>
                <w:sz w:val="20"/>
              </w:rPr>
            </w:pPr>
            <w:r w:rsidRPr="00CD35DA">
              <w:rPr>
                <w:rFonts w:ascii="Arial" w:hAnsi="Arial" w:cs="Arial"/>
                <w:iCs/>
                <w:szCs w:val="22"/>
              </w:rPr>
              <w:t xml:space="preserve">The </w:t>
            </w:r>
            <w:r w:rsidR="00CC70FF">
              <w:rPr>
                <w:rFonts w:ascii="Arial" w:hAnsi="Arial" w:cs="Arial"/>
                <w:iCs/>
                <w:szCs w:val="22"/>
              </w:rPr>
              <w:t>Stabilization of Recovery Transition (</w:t>
            </w:r>
            <w:r w:rsidRPr="00CD35DA">
              <w:rPr>
                <w:rFonts w:ascii="Arial" w:hAnsi="Arial" w:cs="Arial"/>
                <w:iCs/>
                <w:szCs w:val="22"/>
              </w:rPr>
              <w:t>START</w:t>
            </w:r>
            <w:r w:rsidR="00CC70FF">
              <w:rPr>
                <w:rFonts w:ascii="Arial" w:hAnsi="Arial" w:cs="Arial"/>
                <w:iCs/>
                <w:szCs w:val="22"/>
              </w:rPr>
              <w:t>)</w:t>
            </w:r>
            <w:r w:rsidRPr="00CD35DA">
              <w:rPr>
                <w:rFonts w:ascii="Arial" w:hAnsi="Arial" w:cs="Arial"/>
                <w:iCs/>
                <w:szCs w:val="22"/>
              </w:rPr>
              <w:t xml:space="preserve"> programme aims to capitalize on</w:t>
            </w:r>
            <w:r w:rsidR="00626038">
              <w:rPr>
                <w:rFonts w:ascii="Arial" w:hAnsi="Arial" w:cs="Arial"/>
                <w:iCs/>
                <w:szCs w:val="22"/>
              </w:rPr>
              <w:t xml:space="preserve"> results achieved by two complementary ongoing projects</w:t>
            </w:r>
            <w:r w:rsidR="002F0631">
              <w:rPr>
                <w:rFonts w:ascii="Arial" w:hAnsi="Arial" w:cs="Arial"/>
                <w:iCs/>
                <w:szCs w:val="22"/>
              </w:rPr>
              <w:t xml:space="preserve"> (“Strengthening Local Capacities for Resilience and Recovery” (SLCRR) and “Stabilization Facility for Libya (SFL)), which </w:t>
            </w:r>
            <w:r w:rsidRPr="00CD35DA">
              <w:rPr>
                <w:rFonts w:ascii="Arial" w:hAnsi="Arial" w:cs="Arial"/>
                <w:iCs/>
                <w:szCs w:val="22"/>
              </w:rPr>
              <w:t xml:space="preserve">focus on the economic recovery </w:t>
            </w:r>
            <w:r w:rsidR="000011D6" w:rsidRPr="00CD35DA">
              <w:rPr>
                <w:rFonts w:ascii="Arial" w:hAnsi="Arial" w:cs="Arial"/>
                <w:iCs/>
                <w:szCs w:val="22"/>
              </w:rPr>
              <w:t>in</w:t>
            </w:r>
            <w:r w:rsidR="008735B8" w:rsidRPr="008735B8">
              <w:rPr>
                <w:rFonts w:ascii="Arial" w:hAnsi="Arial" w:cs="Arial"/>
                <w:iCs/>
                <w:szCs w:val="22"/>
              </w:rPr>
              <w:t xml:space="preserve"> the West, South and East of Libya</w:t>
            </w:r>
            <w:r w:rsidR="002F0631">
              <w:rPr>
                <w:rFonts w:ascii="Arial" w:hAnsi="Arial" w:cs="Arial"/>
                <w:iCs/>
                <w:szCs w:val="22"/>
              </w:rPr>
              <w:t>, and</w:t>
            </w:r>
            <w:r w:rsidR="000011D6" w:rsidRPr="00CD35DA">
              <w:rPr>
                <w:rFonts w:ascii="Arial" w:hAnsi="Arial" w:cs="Arial"/>
                <w:iCs/>
                <w:szCs w:val="22"/>
              </w:rPr>
              <w:t xml:space="preserve"> to enhance the humanitarian-development-peace triple nexus. </w:t>
            </w:r>
            <w:r w:rsidR="008E66AE" w:rsidRPr="00CD35DA">
              <w:rPr>
                <w:rFonts w:ascii="Arial" w:hAnsi="Arial" w:cs="Arial"/>
                <w:iCs/>
                <w:szCs w:val="22"/>
              </w:rPr>
              <w:t xml:space="preserve">This approach will link development with major </w:t>
            </w:r>
            <w:r w:rsidR="009E1D35">
              <w:rPr>
                <w:rFonts w:ascii="Arial" w:hAnsi="Arial" w:cs="Arial"/>
                <w:iCs/>
                <w:szCs w:val="22"/>
              </w:rPr>
              <w:t>challenges</w:t>
            </w:r>
            <w:r w:rsidR="008E66AE" w:rsidRPr="00CD35DA">
              <w:rPr>
                <w:rFonts w:ascii="Arial" w:hAnsi="Arial" w:cs="Arial"/>
                <w:iCs/>
                <w:szCs w:val="22"/>
              </w:rPr>
              <w:t xml:space="preserve"> in the country </w:t>
            </w:r>
            <w:r w:rsidR="00EA32CA" w:rsidRPr="00CD35DA">
              <w:rPr>
                <w:rFonts w:ascii="Arial" w:hAnsi="Arial" w:cs="Arial"/>
                <w:iCs/>
                <w:szCs w:val="22"/>
              </w:rPr>
              <w:t>to prevent a return to conditions that foster violence and extremism.</w:t>
            </w:r>
            <w:r w:rsidR="002329FF" w:rsidRPr="00CD35DA">
              <w:rPr>
                <w:rFonts w:ascii="Arial" w:hAnsi="Arial" w:cs="Arial"/>
                <w:iCs/>
                <w:szCs w:val="22"/>
              </w:rPr>
              <w:t xml:space="preserve"> The </w:t>
            </w:r>
            <w:r w:rsidR="00626038">
              <w:rPr>
                <w:rFonts w:ascii="Arial" w:hAnsi="Arial" w:cs="Arial"/>
                <w:iCs/>
                <w:szCs w:val="22"/>
              </w:rPr>
              <w:t xml:space="preserve">proposed </w:t>
            </w:r>
            <w:r w:rsidR="002329FF" w:rsidRPr="00CD35DA">
              <w:rPr>
                <w:rFonts w:ascii="Arial" w:hAnsi="Arial" w:cs="Arial"/>
                <w:iCs/>
                <w:szCs w:val="22"/>
              </w:rPr>
              <w:t>project will take a comprehensive approach, taking advantage of the gains, network and lessons learnt. START will also take a new emphasis on targeting women, youth, and conflict-affected vulnerable populations of migrants, IDPs,</w:t>
            </w:r>
            <w:r w:rsidR="003F6C9C" w:rsidRPr="00CD35DA">
              <w:rPr>
                <w:rFonts w:ascii="Arial" w:hAnsi="Arial" w:cs="Arial"/>
                <w:iCs/>
                <w:szCs w:val="22"/>
              </w:rPr>
              <w:t xml:space="preserve"> migrants</w:t>
            </w:r>
            <w:r w:rsidR="002329FF" w:rsidRPr="00CD35DA">
              <w:rPr>
                <w:rFonts w:ascii="Arial" w:hAnsi="Arial" w:cs="Arial"/>
                <w:iCs/>
                <w:szCs w:val="22"/>
              </w:rPr>
              <w:t xml:space="preserve"> and host community members.</w:t>
            </w:r>
          </w:p>
        </w:tc>
      </w:tr>
    </w:tbl>
    <w:p w14:paraId="41605640" w14:textId="198B4450" w:rsidR="00AD6966" w:rsidRDefault="004A0E14" w:rsidP="000776E9">
      <w:r>
        <w:rPr>
          <w:noProof/>
          <w:lang w:val="en-US"/>
        </w:rPr>
        <mc:AlternateContent>
          <mc:Choice Requires="wps">
            <w:drawing>
              <wp:anchor distT="0" distB="0" distL="114300" distR="114300" simplePos="0" relativeHeight="251651072" behindDoc="0" locked="0" layoutInCell="1" allowOverlap="1" wp14:anchorId="38D8072A" wp14:editId="6CDEBD9A">
                <wp:simplePos x="0" y="0"/>
                <wp:positionH relativeFrom="column">
                  <wp:posOffset>-30876</wp:posOffset>
                </wp:positionH>
                <wp:positionV relativeFrom="paragraph">
                  <wp:posOffset>190178</wp:posOffset>
                </wp:positionV>
                <wp:extent cx="3201035" cy="1662546"/>
                <wp:effectExtent l="0" t="0" r="12065" b="1397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66254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6831F6" w14:textId="77777777" w:rsidR="00976C16" w:rsidRPr="00EA37E8" w:rsidRDefault="00976C16" w:rsidP="00E703D7">
                            <w:pPr>
                              <w:jc w:val="left"/>
                              <w:rPr>
                                <w:rFonts w:ascii="Calibri" w:hAnsi="Calibri"/>
                                <w:bCs/>
                                <w:sz w:val="20"/>
                                <w:szCs w:val="20"/>
                              </w:rPr>
                            </w:pPr>
                            <w:r w:rsidRPr="00C73993">
                              <w:rPr>
                                <w:sz w:val="20"/>
                                <w:szCs w:val="20"/>
                              </w:rPr>
                              <w:t>Contributing Outcome</w:t>
                            </w:r>
                            <w:r>
                              <w:rPr>
                                <w:sz w:val="20"/>
                                <w:szCs w:val="20"/>
                              </w:rPr>
                              <w:t xml:space="preserve"> (UNDAF)</w:t>
                            </w:r>
                            <w:r w:rsidRPr="00C73993">
                              <w:rPr>
                                <w:sz w:val="20"/>
                                <w:szCs w:val="20"/>
                              </w:rPr>
                              <w:t>:</w:t>
                            </w:r>
                            <w:r>
                              <w:rPr>
                                <w:sz w:val="20"/>
                                <w:szCs w:val="20"/>
                              </w:rPr>
                              <w:t xml:space="preserve"> </w:t>
                            </w:r>
                            <w:r w:rsidRPr="00EA37E8">
                              <w:rPr>
                                <w:rFonts w:ascii="Calibri" w:hAnsi="Calibri"/>
                                <w:bCs/>
                                <w:sz w:val="20"/>
                                <w:szCs w:val="20"/>
                              </w:rPr>
                              <w:t>By late 2020, core government functions will be strengthened and Libyan institutions and Civil Society, at all levels, will be better able to respond to the needs of the people (Libyans, migrants and refugees) through transparent, inclusive gender sensitive decision-making processes abiding by the democratic principles of division of power and rule of law</w:t>
                            </w:r>
                          </w:p>
                          <w:p w14:paraId="556FAB4E" w14:textId="459FF468" w:rsidR="00976C16" w:rsidRPr="00C73993" w:rsidRDefault="00976C16">
                            <w:pPr>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1</w:t>
                            </w:r>
                            <w:r>
                              <w:rPr>
                                <w:sz w:val="20"/>
                                <w:szCs w:val="20"/>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8072A" id="_x0000_t202" coordsize="21600,21600" o:spt="202" path="m,l,21600r21600,l21600,xe">
                <v:stroke joinstyle="miter"/>
                <v:path gradientshapeok="t" o:connecttype="rect"/>
              </v:shapetype>
              <v:shape id="Text Box 15" o:spid="_x0000_s1026" type="#_x0000_t202" style="position:absolute;left:0;text-align:left;margin-left:-2.45pt;margin-top:14.95pt;width:252.05pt;height:13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">
                <v:textbox>
                  <w:txbxContent>
                    <w:p w14:paraId="286831F6" w14:textId="77777777" w:rsidR="00976C16" w:rsidRPr="00EA37E8" w:rsidRDefault="00976C16" w:rsidP="00E703D7">
                      <w:pPr>
                        <w:jc w:val="left"/>
                        <w:rPr>
                          <w:rFonts w:ascii="Calibri" w:hAnsi="Calibri"/>
                          <w:bCs/>
                          <w:sz w:val="20"/>
                          <w:szCs w:val="20"/>
                        </w:rPr>
                      </w:pPr>
                      <w:r w:rsidRPr="00C73993">
                        <w:rPr>
                          <w:sz w:val="20"/>
                          <w:szCs w:val="20"/>
                        </w:rPr>
                        <w:t>Contributing Outcome</w:t>
                      </w:r>
                      <w:r>
                        <w:rPr>
                          <w:sz w:val="20"/>
                          <w:szCs w:val="20"/>
                        </w:rPr>
                        <w:t xml:space="preserve"> (UNDAF)</w:t>
                      </w:r>
                      <w:r w:rsidRPr="00C73993">
                        <w:rPr>
                          <w:sz w:val="20"/>
                          <w:szCs w:val="20"/>
                        </w:rPr>
                        <w:t>:</w:t>
                      </w:r>
                      <w:r>
                        <w:rPr>
                          <w:sz w:val="20"/>
                          <w:szCs w:val="20"/>
                        </w:rPr>
                        <w:t xml:space="preserve"> </w:t>
                      </w:r>
                      <w:r w:rsidRPr="00EA37E8">
                        <w:rPr>
                          <w:rFonts w:ascii="Calibri" w:hAnsi="Calibri"/>
                          <w:bCs/>
                          <w:sz w:val="20"/>
                          <w:szCs w:val="20"/>
                        </w:rPr>
                        <w:t>By late 2020, core government functions will be strengthened and Libyan institutions and Civil Society, at all levels, will be better able to respond to the needs of the people (Libyans, migrants and refugees) through transparent, inclusive gender sensitive decision-making processes abiding by the democratic principles of division of power and rule of law</w:t>
                      </w:r>
                    </w:p>
                    <w:p w14:paraId="556FAB4E" w14:textId="459FF468" w:rsidR="00976C16" w:rsidRPr="00C73993" w:rsidRDefault="00976C16">
                      <w:pPr>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1</w:t>
                      </w:r>
                      <w:r>
                        <w:rPr>
                          <w:sz w:val="20"/>
                          <w:szCs w:val="20"/>
                        </w:rPr>
                        <w:t>: 2</w:t>
                      </w:r>
                    </w:p>
                  </w:txbxContent>
                </v:textbox>
              </v:shape>
            </w:pict>
          </mc:Fallback>
        </mc:AlternateContent>
      </w:r>
      <w:r w:rsidR="000776E9">
        <w:tab/>
      </w:r>
      <w:r w:rsidR="000776E9">
        <w:rPr>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620"/>
        <w:gridCol w:w="1615"/>
      </w:tblGrid>
      <w:tr w:rsidR="00AD6966" w:rsidRPr="00D460CE" w14:paraId="086E0C89" w14:textId="77777777" w:rsidTr="008E66AE">
        <w:trPr>
          <w:jc w:val="right"/>
        </w:trPr>
        <w:tc>
          <w:tcPr>
            <w:tcW w:w="1345" w:type="dxa"/>
            <w:shd w:val="clear" w:color="auto" w:fill="auto"/>
          </w:tcPr>
          <w:p w14:paraId="27D9BA54" w14:textId="77777777" w:rsidR="000776E9" w:rsidRPr="003069DF" w:rsidRDefault="000776E9" w:rsidP="002678BD">
            <w:pPr>
              <w:spacing w:before="60"/>
              <w:jc w:val="left"/>
              <w:rPr>
                <w:b/>
                <w:sz w:val="20"/>
                <w:szCs w:val="20"/>
              </w:rPr>
            </w:pPr>
            <w:r w:rsidRPr="003069DF">
              <w:rPr>
                <w:b/>
                <w:sz w:val="20"/>
                <w:szCs w:val="20"/>
              </w:rPr>
              <w:t>Total resources required:</w:t>
            </w:r>
          </w:p>
        </w:tc>
        <w:tc>
          <w:tcPr>
            <w:tcW w:w="3235" w:type="dxa"/>
            <w:gridSpan w:val="2"/>
            <w:shd w:val="clear" w:color="auto" w:fill="auto"/>
            <w:vAlign w:val="center"/>
          </w:tcPr>
          <w:p w14:paraId="66CE03A0" w14:textId="0B4B921A" w:rsidR="000776E9" w:rsidRPr="00C73993" w:rsidRDefault="00634123" w:rsidP="003069DF">
            <w:pPr>
              <w:jc w:val="right"/>
              <w:rPr>
                <w:sz w:val="24"/>
              </w:rPr>
            </w:pPr>
            <w:r>
              <w:rPr>
                <w:sz w:val="24"/>
              </w:rPr>
              <w:t>2,</w:t>
            </w:r>
            <w:r w:rsidR="00FD297C">
              <w:rPr>
                <w:sz w:val="24"/>
              </w:rPr>
              <w:t>727</w:t>
            </w:r>
            <w:r>
              <w:rPr>
                <w:sz w:val="24"/>
              </w:rPr>
              <w:t>,</w:t>
            </w:r>
            <w:r w:rsidR="00FD297C">
              <w:rPr>
                <w:sz w:val="24"/>
              </w:rPr>
              <w:t>272</w:t>
            </w:r>
          </w:p>
        </w:tc>
      </w:tr>
      <w:tr w:rsidR="00AD6966" w:rsidRPr="00D460CE" w14:paraId="63052543" w14:textId="77777777" w:rsidTr="008E66AE">
        <w:trPr>
          <w:jc w:val="right"/>
        </w:trPr>
        <w:tc>
          <w:tcPr>
            <w:tcW w:w="1345" w:type="dxa"/>
            <w:vMerge w:val="restart"/>
            <w:shd w:val="clear" w:color="auto" w:fill="auto"/>
          </w:tcPr>
          <w:p w14:paraId="00E39D78" w14:textId="77777777" w:rsidR="000776E9" w:rsidRPr="003069DF" w:rsidRDefault="000776E9" w:rsidP="002678BD">
            <w:pPr>
              <w:spacing w:before="60"/>
              <w:jc w:val="left"/>
              <w:rPr>
                <w:b/>
                <w:sz w:val="20"/>
                <w:szCs w:val="20"/>
              </w:rPr>
            </w:pPr>
            <w:r w:rsidRPr="003069DF">
              <w:rPr>
                <w:b/>
                <w:sz w:val="20"/>
                <w:szCs w:val="20"/>
              </w:rPr>
              <w:t>Total resources</w:t>
            </w:r>
            <w:r w:rsidR="00914264" w:rsidRPr="003069DF">
              <w:rPr>
                <w:b/>
                <w:sz w:val="20"/>
                <w:szCs w:val="20"/>
              </w:rPr>
              <w:t xml:space="preserve"> allocated</w:t>
            </w:r>
            <w:r w:rsidRPr="003069DF">
              <w:rPr>
                <w:b/>
                <w:sz w:val="20"/>
                <w:szCs w:val="20"/>
              </w:rPr>
              <w:t>:</w:t>
            </w:r>
          </w:p>
        </w:tc>
        <w:tc>
          <w:tcPr>
            <w:tcW w:w="3235" w:type="dxa"/>
            <w:gridSpan w:val="2"/>
            <w:shd w:val="clear" w:color="auto" w:fill="auto"/>
            <w:vAlign w:val="center"/>
          </w:tcPr>
          <w:p w14:paraId="371CB2D3" w14:textId="77777777" w:rsidR="000776E9" w:rsidRPr="00D460CE" w:rsidRDefault="000776E9" w:rsidP="003069DF">
            <w:pPr>
              <w:jc w:val="right"/>
            </w:pPr>
          </w:p>
        </w:tc>
      </w:tr>
      <w:tr w:rsidR="004D4E35" w:rsidRPr="00D460CE" w14:paraId="5501393E" w14:textId="77777777" w:rsidTr="008E66AE">
        <w:trPr>
          <w:jc w:val="right"/>
        </w:trPr>
        <w:tc>
          <w:tcPr>
            <w:tcW w:w="1345" w:type="dxa"/>
            <w:vMerge/>
            <w:shd w:val="clear" w:color="auto" w:fill="auto"/>
          </w:tcPr>
          <w:p w14:paraId="57737420" w14:textId="77777777" w:rsidR="004D4E35" w:rsidRPr="003069DF" w:rsidRDefault="004D4E35" w:rsidP="00870978">
            <w:pPr>
              <w:rPr>
                <w:sz w:val="20"/>
                <w:szCs w:val="20"/>
              </w:rPr>
            </w:pPr>
          </w:p>
        </w:tc>
        <w:tc>
          <w:tcPr>
            <w:tcW w:w="1620" w:type="dxa"/>
            <w:shd w:val="clear" w:color="auto" w:fill="auto"/>
            <w:vAlign w:val="center"/>
          </w:tcPr>
          <w:p w14:paraId="033AC1FA" w14:textId="77777777" w:rsidR="004D4E35" w:rsidRPr="00914264" w:rsidRDefault="004D4E35" w:rsidP="003069DF">
            <w:pPr>
              <w:spacing w:after="0"/>
              <w:jc w:val="right"/>
              <w:rPr>
                <w:b/>
                <w:sz w:val="20"/>
                <w:szCs w:val="20"/>
              </w:rPr>
            </w:pPr>
            <w:r>
              <w:rPr>
                <w:b/>
                <w:sz w:val="20"/>
                <w:szCs w:val="20"/>
              </w:rPr>
              <w:t>UNDP TRAC:</w:t>
            </w:r>
          </w:p>
        </w:tc>
        <w:tc>
          <w:tcPr>
            <w:tcW w:w="1615" w:type="dxa"/>
            <w:shd w:val="clear" w:color="auto" w:fill="auto"/>
            <w:vAlign w:val="center"/>
          </w:tcPr>
          <w:p w14:paraId="003038D7" w14:textId="77777777" w:rsidR="004D4E35" w:rsidRPr="00D460CE" w:rsidRDefault="004D4E35" w:rsidP="003069DF">
            <w:pPr>
              <w:spacing w:after="0"/>
              <w:jc w:val="center"/>
            </w:pPr>
          </w:p>
        </w:tc>
      </w:tr>
      <w:tr w:rsidR="004D4E35" w:rsidRPr="00D460CE" w14:paraId="18F9F961" w14:textId="77777777" w:rsidTr="008E66AE">
        <w:trPr>
          <w:jc w:val="right"/>
        </w:trPr>
        <w:tc>
          <w:tcPr>
            <w:tcW w:w="1345" w:type="dxa"/>
            <w:vMerge/>
            <w:shd w:val="clear" w:color="auto" w:fill="auto"/>
          </w:tcPr>
          <w:p w14:paraId="2AFDE5A6" w14:textId="77777777" w:rsidR="004D4E35" w:rsidRPr="003069DF" w:rsidRDefault="004D4E35" w:rsidP="007C5423">
            <w:pPr>
              <w:rPr>
                <w:sz w:val="20"/>
                <w:szCs w:val="20"/>
              </w:rPr>
            </w:pPr>
          </w:p>
        </w:tc>
        <w:tc>
          <w:tcPr>
            <w:tcW w:w="1620" w:type="dxa"/>
            <w:shd w:val="clear" w:color="auto" w:fill="auto"/>
            <w:vAlign w:val="center"/>
          </w:tcPr>
          <w:p w14:paraId="695FCA9F" w14:textId="77777777" w:rsidR="004D4E35" w:rsidRPr="00914264" w:rsidRDefault="004D4E35" w:rsidP="003069DF">
            <w:pPr>
              <w:spacing w:after="0"/>
              <w:jc w:val="right"/>
              <w:rPr>
                <w:b/>
                <w:sz w:val="20"/>
                <w:szCs w:val="20"/>
              </w:rPr>
            </w:pPr>
            <w:r w:rsidRPr="00914264">
              <w:rPr>
                <w:b/>
                <w:sz w:val="20"/>
                <w:szCs w:val="20"/>
              </w:rPr>
              <w:t>Donor:</w:t>
            </w:r>
          </w:p>
        </w:tc>
        <w:tc>
          <w:tcPr>
            <w:tcW w:w="1615" w:type="dxa"/>
            <w:shd w:val="clear" w:color="auto" w:fill="auto"/>
            <w:vAlign w:val="center"/>
          </w:tcPr>
          <w:p w14:paraId="1AED343E" w14:textId="1C992F43" w:rsidR="004D4E35" w:rsidRPr="00A640DF" w:rsidRDefault="00A640DF" w:rsidP="003069DF">
            <w:pPr>
              <w:spacing w:after="0"/>
              <w:jc w:val="center"/>
              <w:rPr>
                <w:sz w:val="18"/>
              </w:rPr>
            </w:pPr>
            <w:r w:rsidRPr="00A640DF">
              <w:rPr>
                <w:sz w:val="18"/>
              </w:rPr>
              <w:t xml:space="preserve">USD </w:t>
            </w:r>
            <w:r w:rsidR="00634123">
              <w:rPr>
                <w:sz w:val="18"/>
              </w:rPr>
              <w:t>2,</w:t>
            </w:r>
            <w:r w:rsidR="00FD297C">
              <w:rPr>
                <w:sz w:val="18"/>
              </w:rPr>
              <w:t>727</w:t>
            </w:r>
            <w:r w:rsidR="00634123">
              <w:rPr>
                <w:sz w:val="18"/>
              </w:rPr>
              <w:t>,</w:t>
            </w:r>
            <w:r w:rsidR="00FD297C">
              <w:rPr>
                <w:sz w:val="18"/>
              </w:rPr>
              <w:t>272</w:t>
            </w:r>
          </w:p>
        </w:tc>
      </w:tr>
      <w:tr w:rsidR="004D4E35" w:rsidRPr="00D460CE" w14:paraId="624A4BD3" w14:textId="77777777" w:rsidTr="008E66AE">
        <w:trPr>
          <w:jc w:val="right"/>
        </w:trPr>
        <w:tc>
          <w:tcPr>
            <w:tcW w:w="1345" w:type="dxa"/>
            <w:vMerge/>
            <w:shd w:val="clear" w:color="auto" w:fill="auto"/>
          </w:tcPr>
          <w:p w14:paraId="48E0C352" w14:textId="77777777" w:rsidR="004D4E35" w:rsidRPr="003069DF" w:rsidRDefault="004D4E35" w:rsidP="007C5423">
            <w:pPr>
              <w:rPr>
                <w:sz w:val="20"/>
                <w:szCs w:val="20"/>
              </w:rPr>
            </w:pPr>
          </w:p>
        </w:tc>
        <w:tc>
          <w:tcPr>
            <w:tcW w:w="1620" w:type="dxa"/>
            <w:shd w:val="clear" w:color="auto" w:fill="auto"/>
            <w:vAlign w:val="center"/>
          </w:tcPr>
          <w:p w14:paraId="71B20CC2" w14:textId="77777777" w:rsidR="004D4E35" w:rsidRPr="00914264" w:rsidRDefault="004D4E35" w:rsidP="003069DF">
            <w:pPr>
              <w:spacing w:after="0"/>
              <w:jc w:val="right"/>
              <w:rPr>
                <w:b/>
                <w:sz w:val="20"/>
                <w:szCs w:val="20"/>
              </w:rPr>
            </w:pPr>
            <w:r w:rsidRPr="00914264">
              <w:rPr>
                <w:b/>
                <w:sz w:val="20"/>
                <w:szCs w:val="20"/>
              </w:rPr>
              <w:t>Government:</w:t>
            </w:r>
          </w:p>
        </w:tc>
        <w:tc>
          <w:tcPr>
            <w:tcW w:w="1615" w:type="dxa"/>
            <w:shd w:val="clear" w:color="auto" w:fill="auto"/>
            <w:vAlign w:val="center"/>
          </w:tcPr>
          <w:p w14:paraId="56A064DD" w14:textId="77777777" w:rsidR="004D4E35" w:rsidRPr="00D460CE" w:rsidRDefault="004D4E35" w:rsidP="003069DF">
            <w:pPr>
              <w:spacing w:after="0"/>
              <w:jc w:val="center"/>
            </w:pPr>
          </w:p>
        </w:tc>
      </w:tr>
      <w:tr w:rsidR="004D4E35" w:rsidRPr="00D460CE" w14:paraId="3D19F759" w14:textId="77777777" w:rsidTr="008E66AE">
        <w:trPr>
          <w:trHeight w:val="314"/>
          <w:jc w:val="right"/>
        </w:trPr>
        <w:tc>
          <w:tcPr>
            <w:tcW w:w="1345" w:type="dxa"/>
            <w:vMerge/>
            <w:shd w:val="clear" w:color="auto" w:fill="auto"/>
          </w:tcPr>
          <w:p w14:paraId="574BB9D0" w14:textId="77777777" w:rsidR="004D4E35" w:rsidRPr="003069DF" w:rsidRDefault="004D4E35" w:rsidP="007C5423">
            <w:pPr>
              <w:rPr>
                <w:sz w:val="20"/>
                <w:szCs w:val="20"/>
              </w:rPr>
            </w:pPr>
          </w:p>
        </w:tc>
        <w:tc>
          <w:tcPr>
            <w:tcW w:w="1620" w:type="dxa"/>
            <w:shd w:val="clear" w:color="auto" w:fill="auto"/>
            <w:vAlign w:val="center"/>
          </w:tcPr>
          <w:p w14:paraId="0F244A71" w14:textId="77777777" w:rsidR="004D4E35" w:rsidRPr="00914264" w:rsidRDefault="004D4E35" w:rsidP="003069DF">
            <w:pPr>
              <w:spacing w:after="0"/>
              <w:jc w:val="right"/>
              <w:rPr>
                <w:b/>
                <w:sz w:val="20"/>
                <w:szCs w:val="20"/>
              </w:rPr>
            </w:pPr>
            <w:r w:rsidRPr="00914264">
              <w:rPr>
                <w:b/>
                <w:sz w:val="20"/>
                <w:szCs w:val="20"/>
              </w:rPr>
              <w:t>In-Kind:</w:t>
            </w:r>
          </w:p>
        </w:tc>
        <w:tc>
          <w:tcPr>
            <w:tcW w:w="1615" w:type="dxa"/>
            <w:shd w:val="clear" w:color="auto" w:fill="auto"/>
            <w:vAlign w:val="center"/>
          </w:tcPr>
          <w:p w14:paraId="7E487769" w14:textId="77777777" w:rsidR="004D4E35" w:rsidRPr="00D460CE" w:rsidRDefault="004D4E35" w:rsidP="003069DF">
            <w:pPr>
              <w:spacing w:after="0"/>
              <w:jc w:val="center"/>
            </w:pPr>
          </w:p>
        </w:tc>
      </w:tr>
      <w:tr w:rsidR="003069DF" w:rsidRPr="00D460CE" w14:paraId="498E023B" w14:textId="77777777" w:rsidTr="008E66AE">
        <w:trPr>
          <w:trHeight w:val="314"/>
          <w:jc w:val="right"/>
        </w:trPr>
        <w:tc>
          <w:tcPr>
            <w:tcW w:w="1345" w:type="dxa"/>
            <w:shd w:val="clear" w:color="auto" w:fill="auto"/>
            <w:vAlign w:val="center"/>
          </w:tcPr>
          <w:p w14:paraId="2832E315" w14:textId="77777777" w:rsidR="003069DF" w:rsidRPr="003069DF" w:rsidRDefault="003069DF" w:rsidP="003069DF">
            <w:pPr>
              <w:spacing w:after="0"/>
              <w:jc w:val="left"/>
              <w:rPr>
                <w:sz w:val="20"/>
                <w:szCs w:val="20"/>
              </w:rPr>
            </w:pPr>
            <w:r w:rsidRPr="003069DF">
              <w:rPr>
                <w:b/>
                <w:sz w:val="20"/>
                <w:szCs w:val="20"/>
              </w:rPr>
              <w:t>Unfunded:</w:t>
            </w:r>
          </w:p>
        </w:tc>
        <w:tc>
          <w:tcPr>
            <w:tcW w:w="3235" w:type="dxa"/>
            <w:gridSpan w:val="2"/>
            <w:shd w:val="clear" w:color="auto" w:fill="auto"/>
            <w:vAlign w:val="center"/>
          </w:tcPr>
          <w:p w14:paraId="433E56A0" w14:textId="77777777" w:rsidR="003069DF" w:rsidRPr="003069DF" w:rsidRDefault="003069DF" w:rsidP="003069DF">
            <w:pPr>
              <w:spacing w:after="0"/>
              <w:jc w:val="right"/>
              <w:rPr>
                <w:sz w:val="20"/>
                <w:szCs w:val="20"/>
              </w:rPr>
            </w:pPr>
          </w:p>
        </w:tc>
      </w:tr>
    </w:tbl>
    <w:p w14:paraId="3E2A25C5" w14:textId="77777777" w:rsidR="00901C7D" w:rsidRDefault="00901C7D" w:rsidP="00766B89">
      <w:pPr>
        <w:tabs>
          <w:tab w:val="left" w:pos="960"/>
        </w:tabs>
        <w:spacing w:before="120" w:after="0"/>
      </w:pPr>
      <w:r>
        <w:t>Agreed by (signatures)</w:t>
      </w:r>
      <w:r w:rsidR="00AA0710">
        <w:rPr>
          <w:rStyle w:val="FootnoteReference"/>
        </w:rPr>
        <w:footnoteReference w:id="2"/>
      </w:r>
      <w: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0"/>
      </w:tblGrid>
      <w:tr w:rsidR="004B29B4" w14:paraId="7B9BB8CC" w14:textId="77777777" w:rsidTr="008E66AE">
        <w:tc>
          <w:tcPr>
            <w:tcW w:w="5035" w:type="dxa"/>
            <w:shd w:val="clear" w:color="auto" w:fill="auto"/>
          </w:tcPr>
          <w:p w14:paraId="48FAAEDC" w14:textId="77777777" w:rsidR="004B29B4" w:rsidRDefault="004B29B4" w:rsidP="00666B7D">
            <w:pPr>
              <w:spacing w:after="0"/>
              <w:jc w:val="center"/>
            </w:pPr>
            <w:r>
              <w:t>UNDP</w:t>
            </w:r>
          </w:p>
        </w:tc>
        <w:tc>
          <w:tcPr>
            <w:tcW w:w="4590" w:type="dxa"/>
            <w:shd w:val="clear" w:color="auto" w:fill="auto"/>
          </w:tcPr>
          <w:p w14:paraId="54131865" w14:textId="77777777" w:rsidR="004B29B4" w:rsidRDefault="004B29B4" w:rsidP="00666B7D">
            <w:pPr>
              <w:spacing w:after="0"/>
              <w:jc w:val="center"/>
            </w:pPr>
            <w:r>
              <w:t>Implementing Partner</w:t>
            </w:r>
          </w:p>
        </w:tc>
      </w:tr>
      <w:tr w:rsidR="004B29B4" w14:paraId="2B665165" w14:textId="77777777" w:rsidTr="008E66AE">
        <w:trPr>
          <w:trHeight w:val="1412"/>
        </w:trPr>
        <w:tc>
          <w:tcPr>
            <w:tcW w:w="5035" w:type="dxa"/>
            <w:shd w:val="clear" w:color="auto" w:fill="auto"/>
          </w:tcPr>
          <w:p w14:paraId="154FB817" w14:textId="77777777" w:rsidR="004B29B4" w:rsidRPr="00666B7D" w:rsidRDefault="004B29B4" w:rsidP="003C0FEB">
            <w:pPr>
              <w:spacing w:after="0"/>
              <w:jc w:val="left"/>
              <w:rPr>
                <w:sz w:val="20"/>
                <w:szCs w:val="20"/>
              </w:rPr>
            </w:pPr>
          </w:p>
          <w:p w14:paraId="2E55F896" w14:textId="77777777" w:rsidR="004B29B4" w:rsidRPr="00666B7D" w:rsidRDefault="004B29B4" w:rsidP="003C0FEB">
            <w:pPr>
              <w:spacing w:after="0"/>
              <w:jc w:val="left"/>
              <w:rPr>
                <w:sz w:val="20"/>
                <w:szCs w:val="20"/>
              </w:rPr>
            </w:pPr>
          </w:p>
          <w:p w14:paraId="332E6F1B" w14:textId="77777777" w:rsidR="004B29B4" w:rsidRPr="00666B7D" w:rsidRDefault="004B29B4" w:rsidP="003C0FEB">
            <w:pPr>
              <w:spacing w:after="0"/>
              <w:jc w:val="left"/>
              <w:rPr>
                <w:sz w:val="20"/>
                <w:szCs w:val="20"/>
              </w:rPr>
            </w:pPr>
          </w:p>
          <w:p w14:paraId="176925C5" w14:textId="77777777" w:rsidR="004B29B4" w:rsidRPr="00666B7D" w:rsidRDefault="004B29B4" w:rsidP="003C0FEB">
            <w:pPr>
              <w:spacing w:after="0"/>
              <w:jc w:val="left"/>
              <w:rPr>
                <w:sz w:val="20"/>
                <w:szCs w:val="20"/>
              </w:rPr>
            </w:pPr>
          </w:p>
          <w:p w14:paraId="37DAAA91" w14:textId="77777777" w:rsidR="004B29B4" w:rsidRPr="00666B7D" w:rsidRDefault="004B29B4" w:rsidP="003C0FEB">
            <w:pPr>
              <w:spacing w:after="0"/>
              <w:jc w:val="left"/>
              <w:rPr>
                <w:sz w:val="20"/>
                <w:szCs w:val="20"/>
              </w:rPr>
            </w:pPr>
          </w:p>
          <w:p w14:paraId="5ACE58C3" w14:textId="77777777" w:rsidR="004B29B4" w:rsidRPr="00666B7D" w:rsidRDefault="004B29B4" w:rsidP="003C0FEB">
            <w:pPr>
              <w:spacing w:after="0"/>
              <w:jc w:val="left"/>
              <w:rPr>
                <w:sz w:val="20"/>
                <w:szCs w:val="20"/>
              </w:rPr>
            </w:pPr>
            <w:r w:rsidRPr="00666B7D">
              <w:rPr>
                <w:sz w:val="20"/>
                <w:szCs w:val="20"/>
              </w:rPr>
              <w:t>Print Name:</w:t>
            </w:r>
          </w:p>
        </w:tc>
        <w:tc>
          <w:tcPr>
            <w:tcW w:w="4590" w:type="dxa"/>
            <w:shd w:val="clear" w:color="auto" w:fill="auto"/>
          </w:tcPr>
          <w:p w14:paraId="393013BF" w14:textId="77777777" w:rsidR="004B29B4" w:rsidRPr="00666B7D" w:rsidRDefault="004B29B4" w:rsidP="003C0FEB">
            <w:pPr>
              <w:spacing w:after="0"/>
              <w:jc w:val="left"/>
              <w:rPr>
                <w:sz w:val="20"/>
                <w:szCs w:val="20"/>
              </w:rPr>
            </w:pPr>
          </w:p>
          <w:p w14:paraId="0472573D" w14:textId="77777777" w:rsidR="004B29B4" w:rsidRPr="00666B7D" w:rsidRDefault="004B29B4" w:rsidP="003C0FEB">
            <w:pPr>
              <w:spacing w:after="0"/>
              <w:jc w:val="left"/>
              <w:rPr>
                <w:sz w:val="20"/>
                <w:szCs w:val="20"/>
              </w:rPr>
            </w:pPr>
          </w:p>
          <w:p w14:paraId="31897243" w14:textId="77777777" w:rsidR="004B29B4" w:rsidRPr="00666B7D" w:rsidRDefault="004B29B4" w:rsidP="003C0FEB">
            <w:pPr>
              <w:spacing w:after="0"/>
              <w:jc w:val="left"/>
              <w:rPr>
                <w:sz w:val="20"/>
                <w:szCs w:val="20"/>
              </w:rPr>
            </w:pPr>
          </w:p>
          <w:p w14:paraId="00F1498A" w14:textId="77777777" w:rsidR="004B29B4" w:rsidRPr="00666B7D" w:rsidRDefault="004B29B4" w:rsidP="003C0FEB">
            <w:pPr>
              <w:spacing w:after="0"/>
              <w:jc w:val="left"/>
              <w:rPr>
                <w:sz w:val="20"/>
                <w:szCs w:val="20"/>
              </w:rPr>
            </w:pPr>
          </w:p>
          <w:p w14:paraId="439ED467" w14:textId="77777777" w:rsidR="004B29B4" w:rsidRPr="00666B7D" w:rsidRDefault="004B29B4" w:rsidP="003C0FEB">
            <w:pPr>
              <w:spacing w:after="0"/>
              <w:jc w:val="left"/>
              <w:rPr>
                <w:sz w:val="20"/>
                <w:szCs w:val="20"/>
              </w:rPr>
            </w:pPr>
          </w:p>
          <w:p w14:paraId="3F473FC5" w14:textId="77777777" w:rsidR="004B29B4" w:rsidRPr="00666B7D" w:rsidRDefault="004B29B4" w:rsidP="003C0FEB">
            <w:pPr>
              <w:spacing w:after="0"/>
              <w:jc w:val="left"/>
              <w:rPr>
                <w:sz w:val="20"/>
                <w:szCs w:val="20"/>
              </w:rPr>
            </w:pPr>
            <w:r w:rsidRPr="00666B7D">
              <w:rPr>
                <w:sz w:val="20"/>
                <w:szCs w:val="20"/>
              </w:rPr>
              <w:t>Print Name:</w:t>
            </w:r>
          </w:p>
        </w:tc>
      </w:tr>
      <w:tr w:rsidR="004B29B4" w14:paraId="22309F68" w14:textId="77777777" w:rsidTr="008E66AE">
        <w:tc>
          <w:tcPr>
            <w:tcW w:w="5035" w:type="dxa"/>
            <w:shd w:val="clear" w:color="auto" w:fill="auto"/>
          </w:tcPr>
          <w:p w14:paraId="22C032AA" w14:textId="77777777" w:rsidR="004B29B4" w:rsidRDefault="004B29B4" w:rsidP="00666B7D">
            <w:pPr>
              <w:spacing w:after="0"/>
              <w:jc w:val="left"/>
            </w:pPr>
            <w:r>
              <w:t xml:space="preserve">Date: </w:t>
            </w:r>
          </w:p>
        </w:tc>
        <w:tc>
          <w:tcPr>
            <w:tcW w:w="4590" w:type="dxa"/>
            <w:shd w:val="clear" w:color="auto" w:fill="auto"/>
          </w:tcPr>
          <w:p w14:paraId="4264702F" w14:textId="77777777" w:rsidR="004B29B4" w:rsidRDefault="004B29B4" w:rsidP="00666B7D">
            <w:pPr>
              <w:spacing w:after="0"/>
              <w:jc w:val="left"/>
            </w:pPr>
            <w:r>
              <w:t>Date:</w:t>
            </w:r>
          </w:p>
        </w:tc>
      </w:tr>
    </w:tbl>
    <w:p w14:paraId="3E601493" w14:textId="7CE55085" w:rsidR="00ED756E" w:rsidRDefault="009B63D7" w:rsidP="003027DB">
      <w:pPr>
        <w:pStyle w:val="Heading1"/>
        <w:numPr>
          <w:ilvl w:val="0"/>
          <w:numId w:val="4"/>
        </w:numPr>
      </w:pPr>
      <w:r>
        <w:br w:type="page"/>
      </w:r>
      <w:r w:rsidR="00ED756E">
        <w:lastRenderedPageBreak/>
        <w:t>Programme Summary</w:t>
      </w:r>
    </w:p>
    <w:p w14:paraId="7ADB6EB8" w14:textId="77777777" w:rsidR="00E8450D" w:rsidRPr="00634123" w:rsidRDefault="00E8450D" w:rsidP="00E8450D">
      <w:pPr>
        <w:spacing w:afterLines="120" w:after="288"/>
        <w:rPr>
          <w:rFonts w:cs="Arial"/>
          <w:szCs w:val="22"/>
        </w:rPr>
      </w:pPr>
      <w:r w:rsidRPr="00634123">
        <w:rPr>
          <w:rFonts w:cs="Arial"/>
          <w:szCs w:val="22"/>
        </w:rPr>
        <w:t xml:space="preserve">As the “UN new way of working’ emphasizes, a complementary approach to humanitarian-development-peace (HDP) nexus - the Triple Nexus - recognizes the necessity of working and linking in all focus areas in a coordinated manner to be successful. This reflects indeed the multifaceted problems people in crisis and conflict face. </w:t>
      </w:r>
    </w:p>
    <w:p w14:paraId="4F337CE8" w14:textId="4A2D72D8" w:rsidR="00E8450D" w:rsidRPr="00634123" w:rsidRDefault="00E8450D" w:rsidP="00E8450D">
      <w:pPr>
        <w:spacing w:afterLines="120" w:after="288"/>
        <w:rPr>
          <w:rFonts w:cs="Arial"/>
          <w:color w:val="0A0A0A"/>
          <w:spacing w:val="8"/>
          <w:szCs w:val="22"/>
          <w:shd w:val="clear" w:color="auto" w:fill="FEFEFE"/>
        </w:rPr>
      </w:pPr>
      <w:r w:rsidRPr="00634123">
        <w:rPr>
          <w:rFonts w:cs="Arial"/>
          <w:color w:val="0A0A0A"/>
          <w:spacing w:val="8"/>
          <w:szCs w:val="22"/>
          <w:shd w:val="clear" w:color="auto" w:fill="FEFEFE"/>
        </w:rPr>
        <w:t xml:space="preserve">Interlinkages between the three elements of the nexus reinforce UNDP’s approach </w:t>
      </w:r>
      <w:r w:rsidR="00111568">
        <w:rPr>
          <w:rFonts w:cs="Arial"/>
          <w:color w:val="0A0A0A"/>
          <w:spacing w:val="8"/>
          <w:szCs w:val="22"/>
          <w:shd w:val="clear" w:color="auto" w:fill="FEFEFE"/>
        </w:rPr>
        <w:t xml:space="preserve">to </w:t>
      </w:r>
      <w:r w:rsidRPr="00634123">
        <w:rPr>
          <w:rFonts w:cs="Arial"/>
          <w:color w:val="0A0A0A"/>
          <w:spacing w:val="8"/>
          <w:szCs w:val="22"/>
          <w:shd w:val="clear" w:color="auto" w:fill="FEFEFE"/>
        </w:rPr>
        <w:t xml:space="preserve">respond </w:t>
      </w:r>
      <w:r w:rsidR="00111568">
        <w:rPr>
          <w:rFonts w:cs="Arial"/>
          <w:color w:val="0A0A0A"/>
          <w:spacing w:val="8"/>
          <w:szCs w:val="22"/>
          <w:shd w:val="clear" w:color="auto" w:fill="FEFEFE"/>
        </w:rPr>
        <w:t xml:space="preserve">to the common goals </w:t>
      </w:r>
      <w:r w:rsidRPr="00634123">
        <w:rPr>
          <w:rFonts w:cs="Arial"/>
          <w:color w:val="0A0A0A"/>
          <w:spacing w:val="8"/>
          <w:szCs w:val="22"/>
          <w:shd w:val="clear" w:color="auto" w:fill="FEFEFE"/>
        </w:rPr>
        <w:t>in crisis and optimiz</w:t>
      </w:r>
      <w:r w:rsidR="009E1AF2">
        <w:rPr>
          <w:rFonts w:cs="Arial"/>
          <w:color w:val="0A0A0A"/>
          <w:spacing w:val="8"/>
          <w:szCs w:val="22"/>
          <w:shd w:val="clear" w:color="auto" w:fill="FEFEFE"/>
        </w:rPr>
        <w:t>e</w:t>
      </w:r>
      <w:r w:rsidRPr="00634123">
        <w:rPr>
          <w:rFonts w:cs="Arial"/>
          <w:color w:val="0A0A0A"/>
          <w:spacing w:val="8"/>
          <w:szCs w:val="22"/>
          <w:shd w:val="clear" w:color="auto" w:fill="FEFEFE"/>
        </w:rPr>
        <w:t xml:space="preserve"> existing resources and capabilities in all programmes</w:t>
      </w:r>
      <w:r w:rsidR="009E1AF2">
        <w:rPr>
          <w:rFonts w:cs="Arial"/>
          <w:color w:val="0A0A0A"/>
          <w:spacing w:val="8"/>
          <w:szCs w:val="22"/>
          <w:shd w:val="clear" w:color="auto" w:fill="FEFEFE"/>
        </w:rPr>
        <w:t>.</w:t>
      </w:r>
      <w:r w:rsidR="008735B8">
        <w:rPr>
          <w:rFonts w:cs="Arial"/>
          <w:color w:val="0A0A0A"/>
          <w:spacing w:val="8"/>
          <w:szCs w:val="22"/>
          <w:shd w:val="clear" w:color="auto" w:fill="FEFEFE"/>
        </w:rPr>
        <w:t xml:space="preserve"> With this approach, UNDP </w:t>
      </w:r>
      <w:r w:rsidRPr="00634123">
        <w:rPr>
          <w:rFonts w:cs="Arial"/>
          <w:color w:val="0A0A0A"/>
          <w:spacing w:val="8"/>
          <w:szCs w:val="22"/>
          <w:shd w:val="clear" w:color="auto" w:fill="FEFEFE"/>
        </w:rPr>
        <w:t>help</w:t>
      </w:r>
      <w:r w:rsidR="008735B8">
        <w:rPr>
          <w:rFonts w:cs="Arial"/>
          <w:color w:val="0A0A0A"/>
          <w:spacing w:val="8"/>
          <w:szCs w:val="22"/>
          <w:shd w:val="clear" w:color="auto" w:fill="FEFEFE"/>
        </w:rPr>
        <w:t>s</w:t>
      </w:r>
      <w:r w:rsidRPr="00634123">
        <w:rPr>
          <w:rFonts w:cs="Arial"/>
          <w:color w:val="0A0A0A"/>
          <w:spacing w:val="8"/>
          <w:szCs w:val="22"/>
          <w:shd w:val="clear" w:color="auto" w:fill="FEFEFE"/>
        </w:rPr>
        <w:t xml:space="preserve"> all people not only to meet their urgent humanitarian needs, but to reduce risk and vulnerability as well as to reach the furthest behind first.</w:t>
      </w:r>
    </w:p>
    <w:p w14:paraId="054BB810" w14:textId="4C9B9CFD" w:rsidR="00E8450D" w:rsidRPr="00634123" w:rsidRDefault="00E8450D" w:rsidP="00E8450D">
      <w:pPr>
        <w:spacing w:afterLines="120" w:after="288"/>
        <w:rPr>
          <w:rFonts w:cs="Arial"/>
          <w:szCs w:val="22"/>
        </w:rPr>
      </w:pPr>
      <w:r w:rsidRPr="00634123">
        <w:rPr>
          <w:rFonts w:cs="Arial"/>
          <w:szCs w:val="22"/>
        </w:rPr>
        <w:t>In this context, UNDP’s positioning of implementing both Libya’s stabilization programme (SFL)</w:t>
      </w:r>
      <w:r w:rsidR="00FE452A">
        <w:rPr>
          <w:rFonts w:cs="Arial"/>
          <w:szCs w:val="22"/>
        </w:rPr>
        <w:t>,</w:t>
      </w:r>
      <w:r w:rsidRPr="00634123">
        <w:rPr>
          <w:rFonts w:cs="Arial"/>
          <w:szCs w:val="22"/>
        </w:rPr>
        <w:t xml:space="preserve"> as well as undertaking medium-term interventions through Resilience and Recovery (SLCRR)</w:t>
      </w:r>
      <w:r w:rsidR="00FE452A">
        <w:rPr>
          <w:rFonts w:cs="Arial"/>
          <w:szCs w:val="22"/>
        </w:rPr>
        <w:t>,</w:t>
      </w:r>
      <w:r w:rsidRPr="00634123">
        <w:rPr>
          <w:rFonts w:cs="Arial"/>
          <w:szCs w:val="22"/>
        </w:rPr>
        <w:t xml:space="preserve"> enables the agency to operate in immediate humanitarian and longer-term resilience related areas. UNDP also implements substantial programming in peace related sectors such as security sector reform, reconciliation and, additionally, areas of work around innovation and entrepreneurship focusing on youth</w:t>
      </w:r>
      <w:r w:rsidR="00DE5820">
        <w:rPr>
          <w:rFonts w:cs="Arial"/>
          <w:szCs w:val="22"/>
        </w:rPr>
        <w:t>,</w:t>
      </w:r>
      <w:r w:rsidRPr="00634123">
        <w:rPr>
          <w:rFonts w:cs="Arial"/>
          <w:szCs w:val="22"/>
        </w:rPr>
        <w:t xml:space="preserve"> which all give the agency a unique comparative advantage of being an integrator and facilitator in transiting from humanitarian to development interventions with the incorporation of </w:t>
      </w:r>
      <w:r w:rsidR="00FF1082">
        <w:rPr>
          <w:rFonts w:cs="Arial"/>
          <w:szCs w:val="22"/>
        </w:rPr>
        <w:t xml:space="preserve">the </w:t>
      </w:r>
      <w:r w:rsidRPr="00634123">
        <w:rPr>
          <w:rFonts w:cs="Arial"/>
          <w:szCs w:val="22"/>
        </w:rPr>
        <w:t xml:space="preserve">peace aspect in programming. </w:t>
      </w:r>
    </w:p>
    <w:p w14:paraId="44E0E0E1" w14:textId="4C75DF12" w:rsidR="00E8450D" w:rsidRDefault="00E8450D" w:rsidP="00E8450D">
      <w:pPr>
        <w:spacing w:afterLines="120" w:after="288"/>
        <w:rPr>
          <w:rFonts w:cs="Arial"/>
          <w:szCs w:val="22"/>
        </w:rPr>
      </w:pPr>
      <w:r w:rsidRPr="00634123">
        <w:rPr>
          <w:rFonts w:cs="Arial"/>
          <w:szCs w:val="22"/>
        </w:rPr>
        <w:t xml:space="preserve">Through JSB 2019, UNDP aims to initiate an approach which combines socio-economic development and prevention of violent extremism (PVE) by improving </w:t>
      </w:r>
      <w:r w:rsidRPr="00634123">
        <w:rPr>
          <w:rFonts w:cs="Arial"/>
          <w:szCs w:val="22"/>
          <w:lang w:eastAsia="en-GB"/>
        </w:rPr>
        <w:t xml:space="preserve">access to income generating opportunities as well as undertaking activities for prevention of extremism for </w:t>
      </w:r>
      <w:r w:rsidRPr="00634123">
        <w:rPr>
          <w:rFonts w:cs="Arial"/>
          <w:bCs/>
          <w:szCs w:val="22"/>
          <w:lang w:eastAsia="en-GB"/>
        </w:rPr>
        <w:t>vulnerable populations – displaced people, host communities and migrants living among host communities</w:t>
      </w:r>
      <w:r w:rsidR="006027A6">
        <w:rPr>
          <w:rFonts w:cs="Arial"/>
          <w:bCs/>
          <w:szCs w:val="22"/>
          <w:lang w:eastAsia="en-GB"/>
        </w:rPr>
        <w:t xml:space="preserve"> </w:t>
      </w:r>
      <w:r w:rsidRPr="00634123">
        <w:rPr>
          <w:rFonts w:cs="Arial"/>
          <w:szCs w:val="22"/>
          <w:lang w:eastAsia="en-GB"/>
        </w:rPr>
        <w:t xml:space="preserve">– focusing particularly on youth and women </w:t>
      </w:r>
      <w:r w:rsidR="00DC16B7" w:rsidRPr="00DC16B7">
        <w:rPr>
          <w:rFonts w:cs="Arial"/>
          <w:szCs w:val="22"/>
          <w:lang w:eastAsia="en-GB"/>
        </w:rPr>
        <w:t xml:space="preserve">in the West, South and East of Libya </w:t>
      </w:r>
      <w:r w:rsidR="00DC16B7">
        <w:rPr>
          <w:rFonts w:cs="Arial"/>
          <w:szCs w:val="22"/>
          <w:lang w:eastAsia="en-GB"/>
        </w:rPr>
        <w:t>(targeted municipalities will be identified by the assessment)</w:t>
      </w:r>
      <w:r w:rsidRPr="00634123">
        <w:rPr>
          <w:rFonts w:cs="Arial"/>
          <w:szCs w:val="22"/>
          <w:lang w:eastAsia="en-GB"/>
        </w:rPr>
        <w:t>.</w:t>
      </w:r>
      <w:r w:rsidR="006027A6">
        <w:rPr>
          <w:rFonts w:cs="Arial"/>
          <w:szCs w:val="22"/>
          <w:lang w:eastAsia="en-GB"/>
        </w:rPr>
        <w:t xml:space="preserve"> </w:t>
      </w:r>
      <w:r w:rsidRPr="00634123">
        <w:rPr>
          <w:rFonts w:cs="Arial"/>
          <w:szCs w:val="22"/>
          <w:lang w:eastAsia="en-GB"/>
        </w:rPr>
        <w:t xml:space="preserve">The approach cross cuts areas of </w:t>
      </w:r>
      <w:r w:rsidRPr="00634123">
        <w:rPr>
          <w:rFonts w:cs="Arial"/>
          <w:szCs w:val="22"/>
        </w:rPr>
        <w:t xml:space="preserve">intervention as gender inclusion and empowerment of women, empowerment of youth, resilience of vulnerable host communities and migrants living with host communities. </w:t>
      </w:r>
    </w:p>
    <w:p w14:paraId="021FF1E2" w14:textId="77777777" w:rsidR="00E8450D" w:rsidRPr="00634123" w:rsidRDefault="00E8450D" w:rsidP="00E8450D">
      <w:pPr>
        <w:spacing w:afterLines="120" w:after="288"/>
        <w:rPr>
          <w:rFonts w:cs="Arial"/>
          <w:szCs w:val="22"/>
        </w:rPr>
      </w:pPr>
      <w:r w:rsidRPr="00634123">
        <w:rPr>
          <w:rFonts w:cs="Arial"/>
          <w:szCs w:val="22"/>
        </w:rPr>
        <w:t xml:space="preserve">Under the Humanitarian Response Plan, the UN agencies and partners have been providing vital humanitarian assistance to address the immediate humanitarian needs. The developments on the ground described above requires UNDP to rapidly deploy assistance to urgent needs of vulnerable populations, to address priority early recovery needs and strengthen the resilience and peace of affected Libyans and migrants/refugees. This will help contribute to stabilizing the situation by providing an immediate and visible dividend in the highly volatile context to avoid going back to violence. </w:t>
      </w:r>
    </w:p>
    <w:p w14:paraId="1E8F0BEC" w14:textId="60FB8DBA" w:rsidR="00E8450D" w:rsidRPr="00634123" w:rsidRDefault="00E8450D" w:rsidP="00E8450D">
      <w:pPr>
        <w:spacing w:afterLines="120" w:after="288"/>
        <w:rPr>
          <w:rFonts w:cs="Arial"/>
          <w:szCs w:val="22"/>
        </w:rPr>
      </w:pPr>
      <w:r w:rsidRPr="00634123">
        <w:rPr>
          <w:rFonts w:cs="Arial"/>
          <w:szCs w:val="22"/>
        </w:rPr>
        <w:t>UNDP will work in West, East and South Libya where there is an acute, pressing, need in terms of responding to humanitarian and development and peace related challenges to enable populations to live dignified lives</w:t>
      </w:r>
      <w:r w:rsidR="00DC16B7">
        <w:rPr>
          <w:rFonts w:cs="Arial"/>
          <w:szCs w:val="22"/>
        </w:rPr>
        <w:t>.</w:t>
      </w:r>
      <w:r w:rsidRPr="00634123">
        <w:rPr>
          <w:rFonts w:cs="Arial"/>
          <w:szCs w:val="22"/>
        </w:rPr>
        <w:t xml:space="preserve"> </w:t>
      </w:r>
      <w:r w:rsidR="00DC16B7">
        <w:rPr>
          <w:rFonts w:cs="Arial"/>
          <w:szCs w:val="22"/>
        </w:rPr>
        <w:t xml:space="preserve">UNDP also </w:t>
      </w:r>
      <w:r w:rsidRPr="00634123">
        <w:rPr>
          <w:rFonts w:cs="Arial"/>
          <w:szCs w:val="22"/>
        </w:rPr>
        <w:t>facilitate</w:t>
      </w:r>
      <w:r w:rsidR="00DC16B7">
        <w:rPr>
          <w:rFonts w:cs="Arial"/>
          <w:szCs w:val="22"/>
        </w:rPr>
        <w:t>s</w:t>
      </w:r>
      <w:r w:rsidRPr="00634123">
        <w:rPr>
          <w:rFonts w:cs="Arial"/>
          <w:szCs w:val="22"/>
        </w:rPr>
        <w:t xml:space="preserve"> returns of internally displaced populations before they fall into repeated cycles of poverty, violence, and extremism due to protracted and increasing nature of civil war in the country also fuelled by the challenges of migration. </w:t>
      </w:r>
    </w:p>
    <w:p w14:paraId="70C925A4" w14:textId="2D7910C2" w:rsidR="00E8450D" w:rsidRPr="00634123" w:rsidRDefault="00E8450D" w:rsidP="00E8450D">
      <w:pPr>
        <w:spacing w:afterLines="120" w:after="288"/>
        <w:rPr>
          <w:rFonts w:cs="Arial"/>
          <w:szCs w:val="22"/>
        </w:rPr>
      </w:pPr>
      <w:r w:rsidRPr="00634123">
        <w:rPr>
          <w:rFonts w:cs="Arial"/>
          <w:szCs w:val="22"/>
        </w:rPr>
        <w:t xml:space="preserve">Therefore, there is an urgent need </w:t>
      </w:r>
      <w:r w:rsidR="00B56117">
        <w:rPr>
          <w:rFonts w:cs="Arial"/>
          <w:szCs w:val="22"/>
        </w:rPr>
        <w:t>for UNDP</w:t>
      </w:r>
      <w:r w:rsidR="00DC16B7">
        <w:rPr>
          <w:rFonts w:cs="Arial"/>
          <w:szCs w:val="22"/>
        </w:rPr>
        <w:t xml:space="preserve"> </w:t>
      </w:r>
      <w:r w:rsidRPr="00634123">
        <w:rPr>
          <w:rFonts w:cs="Arial"/>
          <w:szCs w:val="22"/>
        </w:rPr>
        <w:t xml:space="preserve">to capitalize on stabilization and recovery gains (including with the contribution of the Government of Japan), and complement the security sector reform process being supported by UNDP, to ensure existing concerns relating to insecurity and/or community tensions are not exacerbated, and prevent a deterioration in the country context/relapse into conflict and considered as a necessary condition for inclusive sustainable development. UNDP emphasizes the need to test area specific approaches to delivering an integrated package of support to address local level citizen security and development challenges. </w:t>
      </w:r>
    </w:p>
    <w:p w14:paraId="6AAA409D" w14:textId="7DB87DE2" w:rsidR="008F1069" w:rsidRDefault="006D58B9" w:rsidP="003027DB">
      <w:pPr>
        <w:pStyle w:val="Heading1"/>
        <w:numPr>
          <w:ilvl w:val="0"/>
          <w:numId w:val="4"/>
        </w:numPr>
      </w:pPr>
      <w:r>
        <w:t xml:space="preserve">Development </w:t>
      </w:r>
      <w:r w:rsidR="0038628D">
        <w:t>Challenge</w:t>
      </w:r>
      <w:r w:rsidR="00BC3596">
        <w:t xml:space="preserve"> </w:t>
      </w:r>
    </w:p>
    <w:p w14:paraId="49153B17" w14:textId="4E88C562" w:rsidR="006A5E6B" w:rsidRPr="006A5E6B" w:rsidRDefault="00ED756E" w:rsidP="006A5E6B">
      <w:pPr>
        <w:rPr>
          <w:b/>
        </w:rPr>
      </w:pPr>
      <w:r>
        <w:rPr>
          <w:b/>
        </w:rPr>
        <w:t>2</w:t>
      </w:r>
      <w:r w:rsidR="00A640DF" w:rsidRPr="00A640DF">
        <w:rPr>
          <w:b/>
        </w:rPr>
        <w:t xml:space="preserve">.1. Situation analysis </w:t>
      </w:r>
    </w:p>
    <w:p w14:paraId="5695B198" w14:textId="01A9FCBA" w:rsidR="00634123" w:rsidRDefault="00634123" w:rsidP="006A5E6B">
      <w:pPr>
        <w:spacing w:afterLines="120" w:after="288"/>
        <w:rPr>
          <w:rFonts w:cs="Arial"/>
          <w:szCs w:val="22"/>
        </w:rPr>
      </w:pPr>
      <w:r w:rsidRPr="00634123">
        <w:rPr>
          <w:rFonts w:cs="Arial"/>
          <w:szCs w:val="22"/>
        </w:rPr>
        <w:lastRenderedPageBreak/>
        <w:t xml:space="preserve">Libya has witnessed progressively deepening political conflict, insecurity and economic challenges, especially since the outbreak of fighting in June 2014.  The intensification of the conflict since July 2014 led to a significant loss of life and to the displacement of hundreds of thousands of Libyans. </w:t>
      </w:r>
      <w:r w:rsidR="0092317D">
        <w:rPr>
          <w:rFonts w:cs="Arial"/>
          <w:szCs w:val="22"/>
        </w:rPr>
        <w:t xml:space="preserve">In </w:t>
      </w:r>
      <w:r w:rsidR="0092317D" w:rsidRPr="0092317D">
        <w:rPr>
          <w:rFonts w:cs="Arial"/>
          <w:szCs w:val="22"/>
        </w:rPr>
        <w:t>August 2018, clashes broke out between rival armed groups in southern Tripoli, particularly in the Salaheddin, Ain Zara, Mashroua, Al Hadhba and southern mahalas.</w:t>
      </w:r>
      <w:r w:rsidR="0092317D">
        <w:rPr>
          <w:rFonts w:cs="Arial"/>
          <w:szCs w:val="22"/>
        </w:rPr>
        <w:t xml:space="preserve"> </w:t>
      </w:r>
      <w:r w:rsidR="0092317D" w:rsidRPr="0092317D">
        <w:rPr>
          <w:rFonts w:cs="Arial"/>
          <w:szCs w:val="22"/>
        </w:rPr>
        <w:t>These</w:t>
      </w:r>
      <w:r w:rsidR="0092317D">
        <w:rPr>
          <w:rFonts w:cs="Arial"/>
          <w:szCs w:val="22"/>
        </w:rPr>
        <w:t xml:space="preserve"> </w:t>
      </w:r>
      <w:r w:rsidR="0092317D" w:rsidRPr="0092317D">
        <w:rPr>
          <w:rFonts w:cs="Arial"/>
          <w:szCs w:val="22"/>
        </w:rPr>
        <w:t>clashes quickly escalated and spread throughout Tripoli with shells falling on wide swathes of the city.</w:t>
      </w:r>
      <w:r w:rsidR="0092317D">
        <w:rPr>
          <w:rFonts w:cs="Arial"/>
          <w:szCs w:val="22"/>
        </w:rPr>
        <w:t xml:space="preserve"> </w:t>
      </w:r>
      <w:r w:rsidRPr="00634123">
        <w:rPr>
          <w:rFonts w:cs="Arial"/>
          <w:szCs w:val="22"/>
        </w:rPr>
        <w:t xml:space="preserve">Critical infrastructure has sustained significant damage, while the Government has had to minimise spending because of significant declines in oil revenues.  In the most affected areas, the delivery of basic social services is disrupted, together with the capacity of state institutions to maintain a safety net.  </w:t>
      </w:r>
      <w:r w:rsidR="0092317D">
        <w:rPr>
          <w:rFonts w:cs="Arial"/>
          <w:szCs w:val="22"/>
        </w:rPr>
        <w:t xml:space="preserve">As </w:t>
      </w:r>
      <w:r w:rsidR="00BE3147">
        <w:rPr>
          <w:rFonts w:cs="Arial"/>
          <w:szCs w:val="22"/>
        </w:rPr>
        <w:t>October 2018</w:t>
      </w:r>
      <w:r w:rsidR="0092317D">
        <w:rPr>
          <w:rFonts w:cs="Arial"/>
          <w:szCs w:val="22"/>
        </w:rPr>
        <w:t xml:space="preserve">, </w:t>
      </w:r>
      <w:r w:rsidR="00BE3147">
        <w:rPr>
          <w:rFonts w:cs="Arial"/>
          <w:szCs w:val="22"/>
        </w:rPr>
        <w:t>about</w:t>
      </w:r>
      <w:r w:rsidR="0092317D" w:rsidRPr="0092317D">
        <w:rPr>
          <w:rFonts w:cs="Arial"/>
          <w:szCs w:val="22"/>
        </w:rPr>
        <w:t xml:space="preserve"> 823,000 people, including around 248,000 children, are in-need of humanitarian assistance in Libya as a result of persisting political instability, conflict and insecurity, the breakdown of the rule of law, a deteriorating public sector and a dysfunctional economy. These include internally displaced persons, returnees, nondisplaced conflict-affected people and host communities, refugees1 and migrants</w:t>
      </w:r>
      <w:r w:rsidR="00BE3147">
        <w:rPr>
          <w:rStyle w:val="FootnoteReference"/>
          <w:rFonts w:cs="Arial"/>
          <w:szCs w:val="22"/>
        </w:rPr>
        <w:footnoteReference w:id="3"/>
      </w:r>
      <w:r w:rsidR="0092317D" w:rsidRPr="0092317D">
        <w:rPr>
          <w:rFonts w:cs="Arial"/>
          <w:szCs w:val="22"/>
        </w:rPr>
        <w:t>.</w:t>
      </w:r>
      <w:r w:rsidR="00BE3147">
        <w:rPr>
          <w:rFonts w:cs="Arial"/>
          <w:szCs w:val="22"/>
        </w:rPr>
        <w:t xml:space="preserve"> </w:t>
      </w:r>
      <w:r w:rsidRPr="00634123">
        <w:rPr>
          <w:rFonts w:cs="Arial"/>
          <w:szCs w:val="22"/>
        </w:rPr>
        <w:t xml:space="preserve">In April 2019, while all parties were preparing for the National Conference, a military operation led by the Libya National Army (LNA), was launched towards Greater Tripoli. </w:t>
      </w:r>
    </w:p>
    <w:p w14:paraId="70FC3306" w14:textId="192B21DC" w:rsidR="00E8450D" w:rsidRPr="00634123" w:rsidRDefault="00E8450D" w:rsidP="006A5E6B">
      <w:pPr>
        <w:spacing w:afterLines="120" w:after="288"/>
        <w:rPr>
          <w:rFonts w:cs="Arial"/>
          <w:szCs w:val="22"/>
        </w:rPr>
      </w:pPr>
      <w:bookmarkStart w:id="1" w:name="_Hlk30000744"/>
      <w:r>
        <w:rPr>
          <w:rFonts w:cs="Arial"/>
          <w:szCs w:val="22"/>
        </w:rPr>
        <w:t>UNDP has been working across Libya to deliver a wholistic package of support to the local government and communities. This support includes improving governance capacity, democratization, security, reconciliation, civil society capacity building, rehabilitation of basic services and infrastructure, humanitarian aid, and livelihoods support.</w:t>
      </w:r>
      <w:r w:rsidR="009D2076">
        <w:rPr>
          <w:rFonts w:cs="Arial"/>
          <w:szCs w:val="22"/>
        </w:rPr>
        <w:t xml:space="preserve"> Many areas where UNDP Libya has been working, however, offer few livelihoods opportunities and the risk that vulnerable populations will fall into a cycle of poverty and negative coping mechanisms</w:t>
      </w:r>
      <w:r w:rsidR="00DB1D8D">
        <w:rPr>
          <w:rFonts w:cs="Arial"/>
          <w:szCs w:val="22"/>
        </w:rPr>
        <w:t xml:space="preserve"> – including affiliation with armed groups.</w:t>
      </w:r>
    </w:p>
    <w:bookmarkEnd w:id="1"/>
    <w:p w14:paraId="7AC1BF75" w14:textId="602EB4D0" w:rsidR="00A640DF" w:rsidRPr="001D36E5" w:rsidRDefault="00ED756E" w:rsidP="00554D50">
      <w:pPr>
        <w:rPr>
          <w:rFonts w:cs="Arial"/>
          <w:b/>
          <w:szCs w:val="22"/>
        </w:rPr>
      </w:pPr>
      <w:r>
        <w:rPr>
          <w:rFonts w:cs="Arial"/>
          <w:b/>
          <w:szCs w:val="22"/>
        </w:rPr>
        <w:t>2</w:t>
      </w:r>
      <w:r w:rsidR="00A640DF" w:rsidRPr="00D43938">
        <w:rPr>
          <w:rFonts w:cs="Arial"/>
          <w:b/>
          <w:szCs w:val="22"/>
        </w:rPr>
        <w:t>.2. Key Challenges to be addresse</w:t>
      </w:r>
      <w:r w:rsidR="00A640DF" w:rsidRPr="001D36E5">
        <w:rPr>
          <w:rFonts w:cs="Arial"/>
          <w:b/>
          <w:szCs w:val="22"/>
        </w:rPr>
        <w:t xml:space="preserve">d by the Project </w:t>
      </w:r>
    </w:p>
    <w:p w14:paraId="3E721A67" w14:textId="2731E1C6" w:rsidR="00634123" w:rsidRPr="00634123" w:rsidRDefault="00634123" w:rsidP="006A5E6B">
      <w:pPr>
        <w:spacing w:afterLines="120" w:after="288"/>
        <w:rPr>
          <w:rFonts w:cs="Arial"/>
          <w:szCs w:val="22"/>
        </w:rPr>
      </w:pPr>
      <w:r w:rsidRPr="00634123">
        <w:rPr>
          <w:rFonts w:cs="Arial"/>
          <w:szCs w:val="22"/>
        </w:rPr>
        <w:t>Libya’s politics have historically been centred at the local level; the country is a mosaic of a multitude of neighbourhoods, tribes, factions, and interlinked networks. The current military landscape reflects this dynamic. As there is no unified Libyan army, each political faction is supported by heterogeneous military coalitions, made of a myriad of actors and groups, all possessing varied interests and goals. This has several consequences that create a conducive environment for the increase of poverty, extremism, exclusion in the country regarding the host communities, displaced populations, youth and women in particular as well as migrants living in host communities.</w:t>
      </w:r>
    </w:p>
    <w:p w14:paraId="54A2CDA4" w14:textId="0193525E" w:rsidR="00634123" w:rsidRPr="00634123" w:rsidRDefault="00634123" w:rsidP="006A5E6B">
      <w:pPr>
        <w:spacing w:afterLines="120" w:after="288"/>
        <w:rPr>
          <w:rFonts w:cs="Arial"/>
          <w:szCs w:val="22"/>
        </w:rPr>
      </w:pPr>
      <w:r w:rsidRPr="00634123">
        <w:rPr>
          <w:rFonts w:cs="Arial"/>
          <w:szCs w:val="22"/>
        </w:rPr>
        <w:t xml:space="preserve">Japan has been a strategic partner to UNDP in Libya and its further funding will make a critical difference that will allow UNDP to better respond in a coordinated way, through the Triple Nexus approach, increasing the efficiency, coordination and the outreach of the programming reaching to the most vulnerable segments of the society. With </w:t>
      </w:r>
      <w:r w:rsidR="000D7FBC">
        <w:rPr>
          <w:rFonts w:cs="Arial"/>
          <w:szCs w:val="22"/>
        </w:rPr>
        <w:t xml:space="preserve">the </w:t>
      </w:r>
      <w:r w:rsidRPr="00634123">
        <w:rPr>
          <w:rFonts w:cs="Arial"/>
          <w:szCs w:val="22"/>
        </w:rPr>
        <w:t xml:space="preserve">Government of Japan’s valuable contribution, UNDP would like to work in areas where </w:t>
      </w:r>
      <w:r w:rsidRPr="00B32BDB">
        <w:rPr>
          <w:rFonts w:cs="Arial"/>
          <w:szCs w:val="22"/>
        </w:rPr>
        <w:t>there is a high rate of youth unemployment, where the rate of poverty is the highest and where there is a high density of migrants in vulnerable conditions living among host communities undertaking innovative, inclusive, cohesive, synergized, catalytic, impact and result oriented outputs to respond to the needs. A timely and effective intervention will be critical in order to prevent further extremism in the country, give opportunities to especially youth, women, migrants and host communities in need to generate income to be able to support their lives as well as strengthen the opportunities for displaced populations to return.</w:t>
      </w:r>
      <w:r w:rsidRPr="00634123">
        <w:rPr>
          <w:rFonts w:cs="Arial"/>
          <w:szCs w:val="22"/>
        </w:rPr>
        <w:t xml:space="preserve">  </w:t>
      </w:r>
    </w:p>
    <w:p w14:paraId="1FBA454E" w14:textId="14FEAF80" w:rsidR="00634123" w:rsidRPr="006A5E6B" w:rsidRDefault="00634123" w:rsidP="006A5E6B">
      <w:pPr>
        <w:spacing w:afterLines="120" w:after="288"/>
        <w:rPr>
          <w:rFonts w:cs="Arial"/>
          <w:szCs w:val="22"/>
        </w:rPr>
      </w:pPr>
      <w:r w:rsidRPr="00634123">
        <w:rPr>
          <w:rFonts w:cs="Arial"/>
          <w:szCs w:val="22"/>
        </w:rPr>
        <w:t xml:space="preserve">Through the JSB 2019 funding, UNDP would like to shift the attention to broaden the intervention base to address the root causes of the cycle of violence through the nexus between security and development. It’s worth mentioning that several security-oriented projects have been implemented </w:t>
      </w:r>
      <w:r w:rsidRPr="006A5E6B">
        <w:rPr>
          <w:rFonts w:cs="Arial"/>
          <w:szCs w:val="22"/>
        </w:rPr>
        <w:t>in Libya alongside humanitarian and development projects, but the linkage has not been underpinned through a cohesive and coordinated approach.</w:t>
      </w:r>
    </w:p>
    <w:p w14:paraId="480172B7" w14:textId="4A514897" w:rsidR="00634123" w:rsidRPr="006A5E6B" w:rsidRDefault="00634123" w:rsidP="006A5E6B">
      <w:pPr>
        <w:spacing w:afterLines="120" w:after="288"/>
        <w:rPr>
          <w:rFonts w:cs="Arial"/>
          <w:szCs w:val="22"/>
        </w:rPr>
      </w:pPr>
      <w:r w:rsidRPr="006A5E6B">
        <w:rPr>
          <w:rFonts w:cs="Arial"/>
          <w:szCs w:val="22"/>
        </w:rPr>
        <w:t xml:space="preserve">UNDP’s intervention, through JSB 2019, would help prevent vulnerable populations from falling back on negative coping mechanisms, such as violent extremism, while strengthening the transition between humanitarian and development aid. </w:t>
      </w:r>
    </w:p>
    <w:p w14:paraId="69B8D7A1" w14:textId="40C87FEF" w:rsidR="00634123" w:rsidRPr="006A5E6B" w:rsidRDefault="006A5E6B" w:rsidP="006A5E6B">
      <w:pPr>
        <w:spacing w:afterLines="120" w:after="288"/>
        <w:rPr>
          <w:rFonts w:cs="Arial"/>
          <w:b/>
          <w:szCs w:val="22"/>
        </w:rPr>
      </w:pPr>
      <w:r w:rsidRPr="006A5E6B">
        <w:rPr>
          <w:rFonts w:cs="Arial"/>
          <w:color w:val="000000" w:themeColor="text1"/>
          <w:szCs w:val="22"/>
        </w:rPr>
        <w:t>The political uncertainty that prevails in Libya and the prolonged conflict pose a challenge to the internationally recognized Government of National Accord to exercise its authority in the country. The absence of a strong central government resulted in the division of state institutions including the security apparatus proving challenging for programmatic interventions since 2014. However, UNDP and its partners found an entry point to address this: working with municipalities, youth activists and civil society organizations to address migration, displacement and PVE issues in the country.</w:t>
      </w:r>
    </w:p>
    <w:p w14:paraId="01F32AB8" w14:textId="2C769B70" w:rsidR="00BC3596" w:rsidRDefault="009941E9" w:rsidP="00BC3596">
      <w:pPr>
        <w:pStyle w:val="Heading1"/>
        <w:pBdr>
          <w:top w:val="single" w:sz="4" w:space="0" w:color="auto"/>
        </w:pBdr>
      </w:pPr>
      <w:r>
        <w:t>Strategy</w:t>
      </w:r>
    </w:p>
    <w:p w14:paraId="68BA882B" w14:textId="6CCEE928" w:rsidR="00B57C7A" w:rsidRPr="00B24448" w:rsidRDefault="00ED756E" w:rsidP="00B57C7A">
      <w:pPr>
        <w:spacing w:before="120" w:after="0"/>
        <w:rPr>
          <w:rFonts w:cs="Arial"/>
          <w:b/>
          <w:szCs w:val="22"/>
        </w:rPr>
      </w:pPr>
      <w:r w:rsidRPr="00B24448">
        <w:rPr>
          <w:rFonts w:cs="Arial"/>
          <w:b/>
          <w:szCs w:val="22"/>
        </w:rPr>
        <w:t>3</w:t>
      </w:r>
      <w:r w:rsidR="00F80A9B" w:rsidRPr="00B24448">
        <w:rPr>
          <w:b/>
        </w:rPr>
        <w:t xml:space="preserve">.1. </w:t>
      </w:r>
      <w:r w:rsidR="00B57C7A" w:rsidRPr="00B24448">
        <w:rPr>
          <w:rFonts w:cs="Arial"/>
          <w:b/>
          <w:szCs w:val="22"/>
        </w:rPr>
        <w:t>Theory of change</w:t>
      </w:r>
    </w:p>
    <w:p w14:paraId="5706C3B9" w14:textId="22DCB1D8" w:rsidR="00B57C7A" w:rsidRPr="00AA6EB2" w:rsidRDefault="00B57C7A" w:rsidP="00BA263E">
      <w:pPr>
        <w:spacing w:before="60" w:after="0"/>
        <w:rPr>
          <w:rFonts w:cs="Arial"/>
          <w:szCs w:val="22"/>
        </w:rPr>
      </w:pPr>
      <w:r w:rsidRPr="00B24448">
        <w:rPr>
          <w:rFonts w:cs="Arial"/>
          <w:szCs w:val="22"/>
        </w:rPr>
        <w:t xml:space="preserve">The project’s </w:t>
      </w:r>
      <w:r w:rsidRPr="00B24448">
        <w:rPr>
          <w:rFonts w:cs="Arial"/>
          <w:i/>
          <w:szCs w:val="22"/>
        </w:rPr>
        <w:t>Theory of Change</w:t>
      </w:r>
      <w:r w:rsidRPr="00B24448">
        <w:rPr>
          <w:rFonts w:cs="Arial"/>
          <w:szCs w:val="22"/>
        </w:rPr>
        <w:t xml:space="preserve"> is firmly focused on the </w:t>
      </w:r>
      <w:r w:rsidR="00DD1DCD">
        <w:rPr>
          <w:rFonts w:cs="Arial"/>
          <w:szCs w:val="22"/>
        </w:rPr>
        <w:t xml:space="preserve">livelihood </w:t>
      </w:r>
      <w:r w:rsidR="006A5E6B">
        <w:rPr>
          <w:rFonts w:cs="Arial"/>
          <w:szCs w:val="22"/>
        </w:rPr>
        <w:t>recovery</w:t>
      </w:r>
      <w:r w:rsidRPr="00B24448">
        <w:rPr>
          <w:rFonts w:cs="Arial"/>
          <w:szCs w:val="22"/>
        </w:rPr>
        <w:t xml:space="preserve"> needs of </w:t>
      </w:r>
      <w:r w:rsidR="006A5E6B">
        <w:rPr>
          <w:rFonts w:cs="Arial"/>
          <w:szCs w:val="22"/>
        </w:rPr>
        <w:t xml:space="preserve">communities in Libya that have been beneficiaries of UNDP’s stabilization </w:t>
      </w:r>
      <w:r w:rsidR="00DD1DCD">
        <w:rPr>
          <w:rFonts w:cs="Arial"/>
          <w:szCs w:val="22"/>
        </w:rPr>
        <w:t xml:space="preserve">and resiliency </w:t>
      </w:r>
      <w:r w:rsidR="006A5E6B">
        <w:rPr>
          <w:rFonts w:cs="Arial"/>
          <w:szCs w:val="22"/>
        </w:rPr>
        <w:t>efforts.</w:t>
      </w:r>
      <w:r w:rsidRPr="00B24448">
        <w:rPr>
          <w:rFonts w:cs="Arial"/>
          <w:szCs w:val="22"/>
        </w:rPr>
        <w:t xml:space="preserve"> </w:t>
      </w:r>
      <w:r w:rsidR="00DD1DCD">
        <w:rPr>
          <w:rFonts w:cs="Arial"/>
          <w:szCs w:val="22"/>
        </w:rPr>
        <w:t xml:space="preserve">This project aims to leverage expertise, knowledge, and partnerships gained through engagement in communities across </w:t>
      </w:r>
      <w:r w:rsidR="00DD1DCD" w:rsidRPr="00AA6EB2">
        <w:rPr>
          <w:rFonts w:cs="Arial"/>
          <w:szCs w:val="22"/>
        </w:rPr>
        <w:t>Libya over several years to improve quality of life through increased livelihoods opportunities.</w:t>
      </w:r>
    </w:p>
    <w:p w14:paraId="398F627B" w14:textId="77777777" w:rsidR="00B57C7A" w:rsidRPr="00AA6EB2" w:rsidRDefault="00B57C7A" w:rsidP="00BA263E">
      <w:pPr>
        <w:spacing w:before="60" w:after="0"/>
        <w:rPr>
          <w:rFonts w:cs="Arial"/>
          <w:szCs w:val="22"/>
        </w:rPr>
      </w:pPr>
      <w:r w:rsidRPr="00AA6EB2">
        <w:rPr>
          <w:rFonts w:cs="Arial"/>
          <w:szCs w:val="22"/>
        </w:rPr>
        <w:t>The theory of change argues that:</w:t>
      </w:r>
    </w:p>
    <w:p w14:paraId="4CC1CD18" w14:textId="6876F3C4" w:rsidR="00B57C7A" w:rsidRDefault="00B57C7A" w:rsidP="00BA263E">
      <w:pPr>
        <w:spacing w:before="60" w:after="0"/>
        <w:rPr>
          <w:rFonts w:cs="Arial"/>
          <w:szCs w:val="22"/>
        </w:rPr>
      </w:pPr>
      <w:r w:rsidRPr="00AA6EB2">
        <w:rPr>
          <w:rFonts w:cs="Arial"/>
          <w:b/>
          <w:szCs w:val="22"/>
        </w:rPr>
        <w:t>If</w:t>
      </w:r>
      <w:r w:rsidRPr="00AA6EB2">
        <w:rPr>
          <w:rFonts w:cs="Arial"/>
          <w:szCs w:val="22"/>
        </w:rPr>
        <w:t xml:space="preserve"> access to </w:t>
      </w:r>
      <w:r w:rsidRPr="00B32BDB">
        <w:rPr>
          <w:rFonts w:cs="Arial"/>
          <w:szCs w:val="22"/>
        </w:rPr>
        <w:t>information</w:t>
      </w:r>
      <w:r w:rsidR="00DD1DCD" w:rsidRPr="00B32BDB">
        <w:rPr>
          <w:rFonts w:cs="Arial"/>
          <w:szCs w:val="22"/>
        </w:rPr>
        <w:t xml:space="preserve">, professional </w:t>
      </w:r>
      <w:r w:rsidRPr="00B32BDB">
        <w:rPr>
          <w:rFonts w:cs="Arial"/>
          <w:szCs w:val="22"/>
        </w:rPr>
        <w:t>skills development</w:t>
      </w:r>
      <w:r w:rsidR="00DD1DCD" w:rsidRPr="00B32BDB">
        <w:rPr>
          <w:rFonts w:cs="Arial"/>
          <w:szCs w:val="22"/>
        </w:rPr>
        <w:t>, and entrepreneurial grants</w:t>
      </w:r>
      <w:r w:rsidRPr="00B32BDB">
        <w:rPr>
          <w:rFonts w:cs="Arial"/>
          <w:szCs w:val="22"/>
        </w:rPr>
        <w:t xml:space="preserve"> is supported</w:t>
      </w:r>
      <w:r w:rsidR="00DD1DCD" w:rsidRPr="00B32BDB">
        <w:rPr>
          <w:rFonts w:cs="Arial"/>
          <w:szCs w:val="22"/>
        </w:rPr>
        <w:t xml:space="preserve"> </w:t>
      </w:r>
      <w:r w:rsidRPr="00B32BDB">
        <w:rPr>
          <w:rFonts w:cs="Arial"/>
          <w:szCs w:val="22"/>
        </w:rPr>
        <w:t>for women</w:t>
      </w:r>
      <w:r w:rsidR="00DD1DCD" w:rsidRPr="00B32BDB">
        <w:rPr>
          <w:rFonts w:cs="Arial"/>
          <w:szCs w:val="22"/>
        </w:rPr>
        <w:t>, youth and vulnerable communities</w:t>
      </w:r>
      <w:r w:rsidRPr="00B32BDB">
        <w:rPr>
          <w:rFonts w:cs="Arial"/>
          <w:szCs w:val="22"/>
        </w:rPr>
        <w:t xml:space="preserve">, </w:t>
      </w:r>
      <w:r w:rsidRPr="00B32BDB">
        <w:rPr>
          <w:rFonts w:cs="Arial"/>
          <w:b/>
          <w:szCs w:val="22"/>
        </w:rPr>
        <w:t>then</w:t>
      </w:r>
      <w:r w:rsidRPr="00B32BDB">
        <w:rPr>
          <w:rFonts w:cs="Arial"/>
          <w:szCs w:val="22"/>
        </w:rPr>
        <w:t xml:space="preserve"> </w:t>
      </w:r>
      <w:r w:rsidR="00DD1DCD" w:rsidRPr="00B32BDB">
        <w:rPr>
          <w:rFonts w:cs="Arial"/>
          <w:szCs w:val="22"/>
        </w:rPr>
        <w:t>beneficiaries</w:t>
      </w:r>
      <w:r w:rsidRPr="00B32BDB">
        <w:rPr>
          <w:rFonts w:cs="Arial"/>
          <w:szCs w:val="22"/>
        </w:rPr>
        <w:t xml:space="preserve">, </w:t>
      </w:r>
      <w:r w:rsidR="00DD1DCD" w:rsidRPr="00B32BDB">
        <w:rPr>
          <w:rFonts w:cs="Arial"/>
          <w:szCs w:val="22"/>
        </w:rPr>
        <w:t>women and men</w:t>
      </w:r>
      <w:r w:rsidRPr="00B32BDB">
        <w:rPr>
          <w:rFonts w:cs="Arial"/>
          <w:szCs w:val="22"/>
        </w:rPr>
        <w:t xml:space="preserve"> IDPs</w:t>
      </w:r>
      <w:r w:rsidR="003F6C9C">
        <w:rPr>
          <w:rFonts w:cs="Arial"/>
          <w:szCs w:val="22"/>
        </w:rPr>
        <w:t>,</w:t>
      </w:r>
      <w:r w:rsidR="000411EE">
        <w:rPr>
          <w:rFonts w:cs="Arial"/>
          <w:szCs w:val="22"/>
        </w:rPr>
        <w:t xml:space="preserve"> migrant</w:t>
      </w:r>
      <w:r w:rsidR="003F6C9C">
        <w:rPr>
          <w:rFonts w:cs="Arial"/>
          <w:szCs w:val="22"/>
        </w:rPr>
        <w:t>s</w:t>
      </w:r>
      <w:r w:rsidRPr="00B32BDB">
        <w:rPr>
          <w:rFonts w:cs="Arial"/>
          <w:szCs w:val="22"/>
        </w:rPr>
        <w:t xml:space="preserve"> and the local conflict-affected population will be enabled to develop new businesses, expand existing ones, pursue their future financial independence</w:t>
      </w:r>
      <w:r w:rsidR="00DD1DCD" w:rsidRPr="00B32BDB">
        <w:rPr>
          <w:rFonts w:cs="Arial"/>
          <w:szCs w:val="22"/>
        </w:rPr>
        <w:t>, avoid negative coping mechanisms; and</w:t>
      </w:r>
    </w:p>
    <w:p w14:paraId="3672953F" w14:textId="77777777" w:rsidR="00172772" w:rsidRPr="00B32BDB" w:rsidRDefault="00172772" w:rsidP="00BA263E">
      <w:pPr>
        <w:spacing w:before="60" w:after="0"/>
        <w:rPr>
          <w:rFonts w:cs="Arial"/>
          <w:szCs w:val="22"/>
        </w:rPr>
      </w:pPr>
    </w:p>
    <w:p w14:paraId="41E5E557" w14:textId="64D47311" w:rsidR="00B57C7A" w:rsidRDefault="00B57C7A" w:rsidP="00BA263E">
      <w:pPr>
        <w:spacing w:before="60" w:after="0"/>
        <w:rPr>
          <w:rFonts w:cs="Arial"/>
          <w:szCs w:val="22"/>
        </w:rPr>
      </w:pPr>
      <w:r w:rsidRPr="00B32BDB">
        <w:rPr>
          <w:rFonts w:cs="Arial"/>
          <w:b/>
          <w:szCs w:val="22"/>
        </w:rPr>
        <w:t xml:space="preserve">If </w:t>
      </w:r>
      <w:r w:rsidRPr="00B32BDB">
        <w:rPr>
          <w:rFonts w:cs="Arial"/>
          <w:szCs w:val="22"/>
        </w:rPr>
        <w:t xml:space="preserve">seed grants are provided for small-scale business </w:t>
      </w:r>
      <w:r w:rsidR="00DD1DCD" w:rsidRPr="00B32BDB">
        <w:rPr>
          <w:rFonts w:cs="Arial"/>
          <w:szCs w:val="22"/>
        </w:rPr>
        <w:t>activities</w:t>
      </w:r>
      <w:r w:rsidRPr="00B32BDB">
        <w:rPr>
          <w:rFonts w:cs="Arial"/>
          <w:szCs w:val="22"/>
        </w:rPr>
        <w:t xml:space="preserve">, </w:t>
      </w:r>
      <w:r w:rsidRPr="00B32BDB">
        <w:rPr>
          <w:rFonts w:cs="Arial"/>
          <w:b/>
          <w:szCs w:val="22"/>
        </w:rPr>
        <w:t>then</w:t>
      </w:r>
      <w:r w:rsidRPr="00B32BDB">
        <w:rPr>
          <w:rFonts w:cs="Arial"/>
          <w:szCs w:val="22"/>
        </w:rPr>
        <w:t xml:space="preserve"> </w:t>
      </w:r>
      <w:r w:rsidR="00DD1DCD" w:rsidRPr="00B32BDB">
        <w:rPr>
          <w:rFonts w:cs="Arial"/>
          <w:szCs w:val="22"/>
        </w:rPr>
        <w:t>economic activity in conflict-affected areas</w:t>
      </w:r>
      <w:r w:rsidRPr="00B32BDB">
        <w:rPr>
          <w:rFonts w:cs="Arial"/>
          <w:szCs w:val="22"/>
        </w:rPr>
        <w:t xml:space="preserve"> can expand their business</w:t>
      </w:r>
      <w:r w:rsidR="00DD1DCD" w:rsidRPr="00B32BDB">
        <w:rPr>
          <w:rFonts w:cs="Arial"/>
          <w:szCs w:val="22"/>
        </w:rPr>
        <w:t>es and multiply economic impact in the area through increased products and services offered, as well as increased demand;</w:t>
      </w:r>
      <w:r w:rsidRPr="00B32BDB">
        <w:rPr>
          <w:rFonts w:cs="Arial"/>
          <w:szCs w:val="22"/>
        </w:rPr>
        <w:t xml:space="preserve"> and</w:t>
      </w:r>
    </w:p>
    <w:p w14:paraId="454F4391" w14:textId="77777777" w:rsidR="00172772" w:rsidRPr="00B32BDB" w:rsidRDefault="00172772" w:rsidP="00BA263E">
      <w:pPr>
        <w:spacing w:before="60" w:after="0"/>
        <w:rPr>
          <w:rFonts w:cs="Arial"/>
          <w:szCs w:val="22"/>
        </w:rPr>
      </w:pPr>
    </w:p>
    <w:p w14:paraId="2B9C095B" w14:textId="0CDFFD34" w:rsidR="00B57C7A" w:rsidRDefault="00B57C7A" w:rsidP="00BA263E">
      <w:pPr>
        <w:spacing w:before="60" w:after="0"/>
        <w:rPr>
          <w:rFonts w:cs="Arial"/>
          <w:szCs w:val="22"/>
        </w:rPr>
      </w:pPr>
      <w:r w:rsidRPr="00B32BDB">
        <w:rPr>
          <w:rFonts w:cs="Arial"/>
          <w:b/>
          <w:szCs w:val="22"/>
        </w:rPr>
        <w:t xml:space="preserve">If </w:t>
      </w:r>
      <w:r w:rsidR="00FC6EA1" w:rsidRPr="00B32BDB">
        <w:rPr>
          <w:rFonts w:cs="Arial"/>
          <w:szCs w:val="22"/>
        </w:rPr>
        <w:t xml:space="preserve">local institutions supporting the private sector </w:t>
      </w:r>
      <w:r w:rsidRPr="00B32BDB">
        <w:rPr>
          <w:rFonts w:cs="Arial"/>
          <w:szCs w:val="22"/>
        </w:rPr>
        <w:t xml:space="preserve">are provided with business </w:t>
      </w:r>
      <w:r w:rsidR="00FC6EA1" w:rsidRPr="00B32BDB">
        <w:rPr>
          <w:rFonts w:cs="Arial"/>
          <w:szCs w:val="22"/>
        </w:rPr>
        <w:t xml:space="preserve">capacity building and a platform with which to engage </w:t>
      </w:r>
      <w:r w:rsidR="005F330C" w:rsidRPr="00B32BDB">
        <w:rPr>
          <w:rFonts w:cs="Arial"/>
          <w:szCs w:val="22"/>
        </w:rPr>
        <w:t>the business community,</w:t>
      </w:r>
      <w:r w:rsidRPr="00B32BDB">
        <w:rPr>
          <w:rFonts w:cs="Arial"/>
          <w:szCs w:val="22"/>
        </w:rPr>
        <w:t xml:space="preserve"> </w:t>
      </w:r>
      <w:r w:rsidRPr="00B32BDB">
        <w:rPr>
          <w:rFonts w:cs="Arial"/>
          <w:b/>
          <w:szCs w:val="22"/>
        </w:rPr>
        <w:t>then</w:t>
      </w:r>
      <w:r w:rsidRPr="00B32BDB">
        <w:rPr>
          <w:rFonts w:cs="Arial"/>
          <w:szCs w:val="22"/>
        </w:rPr>
        <w:t xml:space="preserve"> their sustainabilit</w:t>
      </w:r>
      <w:r w:rsidR="005F330C" w:rsidRPr="00B32BDB">
        <w:rPr>
          <w:rFonts w:cs="Arial"/>
          <w:szCs w:val="22"/>
        </w:rPr>
        <w:t xml:space="preserve">y, leadership and participation </w:t>
      </w:r>
      <w:r w:rsidRPr="00B32BDB">
        <w:rPr>
          <w:rFonts w:cs="Arial"/>
          <w:szCs w:val="22"/>
        </w:rPr>
        <w:t xml:space="preserve">can be </w:t>
      </w:r>
      <w:r w:rsidR="005F330C" w:rsidRPr="00B32BDB">
        <w:rPr>
          <w:rFonts w:cs="Arial"/>
          <w:szCs w:val="22"/>
        </w:rPr>
        <w:t>more sustainable.</w:t>
      </w:r>
    </w:p>
    <w:p w14:paraId="08015A1C" w14:textId="77777777" w:rsidR="00172772" w:rsidRPr="00B32BDB" w:rsidRDefault="00172772" w:rsidP="00BA263E">
      <w:pPr>
        <w:spacing w:before="60" w:after="0"/>
        <w:rPr>
          <w:rFonts w:cs="Arial"/>
          <w:szCs w:val="22"/>
        </w:rPr>
      </w:pPr>
    </w:p>
    <w:p w14:paraId="1C1FBE3B" w14:textId="36EA89B6" w:rsidR="00B57C7A" w:rsidRDefault="00B57C7A" w:rsidP="00BA263E">
      <w:pPr>
        <w:spacing w:before="60" w:after="0"/>
        <w:rPr>
          <w:rFonts w:cs="Arial"/>
          <w:szCs w:val="22"/>
        </w:rPr>
      </w:pPr>
      <w:r w:rsidRPr="00B32BDB">
        <w:rPr>
          <w:rFonts w:cs="Arial"/>
          <w:b/>
          <w:szCs w:val="22"/>
        </w:rPr>
        <w:t>Ultimately</w:t>
      </w:r>
      <w:r w:rsidRPr="00B32BDB">
        <w:rPr>
          <w:rFonts w:cs="Arial"/>
          <w:szCs w:val="22"/>
        </w:rPr>
        <w:t xml:space="preserve">, income generation through increased employability and </w:t>
      </w:r>
      <w:r w:rsidR="004079BA" w:rsidRPr="00B32BDB">
        <w:rPr>
          <w:rFonts w:cs="Arial"/>
          <w:szCs w:val="22"/>
        </w:rPr>
        <w:t>provision of resources for income generation</w:t>
      </w:r>
      <w:r w:rsidRPr="00B32BDB">
        <w:rPr>
          <w:rFonts w:cs="Arial"/>
          <w:szCs w:val="22"/>
        </w:rPr>
        <w:t xml:space="preserve"> for IDPs</w:t>
      </w:r>
      <w:r w:rsidR="003F6C9C">
        <w:rPr>
          <w:rFonts w:cs="Arial"/>
          <w:szCs w:val="22"/>
        </w:rPr>
        <w:t>,</w:t>
      </w:r>
      <w:r w:rsidRPr="00B32BDB">
        <w:rPr>
          <w:rFonts w:cs="Arial"/>
          <w:szCs w:val="22"/>
        </w:rPr>
        <w:t xml:space="preserve"> </w:t>
      </w:r>
      <w:r w:rsidR="000411EE">
        <w:rPr>
          <w:rFonts w:cs="Arial"/>
          <w:szCs w:val="22"/>
        </w:rPr>
        <w:t>migrants</w:t>
      </w:r>
      <w:r w:rsidR="003F6C9C">
        <w:rPr>
          <w:rFonts w:cs="Arial"/>
          <w:szCs w:val="22"/>
        </w:rPr>
        <w:t xml:space="preserve"> </w:t>
      </w:r>
      <w:r w:rsidRPr="00B32BDB">
        <w:rPr>
          <w:rFonts w:cs="Arial"/>
          <w:szCs w:val="22"/>
        </w:rPr>
        <w:t>and the local conflict-affected population</w:t>
      </w:r>
      <w:r w:rsidR="00197E5E" w:rsidRPr="00B32BDB">
        <w:rPr>
          <w:rFonts w:cs="Arial"/>
          <w:szCs w:val="22"/>
        </w:rPr>
        <w:t xml:space="preserve">, women and </w:t>
      </w:r>
      <w:r w:rsidR="004079BA" w:rsidRPr="00B32BDB">
        <w:rPr>
          <w:rFonts w:cs="Arial"/>
          <w:szCs w:val="22"/>
        </w:rPr>
        <w:t>youth</w:t>
      </w:r>
      <w:r w:rsidRPr="00B32BDB">
        <w:rPr>
          <w:rFonts w:cs="Arial"/>
          <w:szCs w:val="22"/>
        </w:rPr>
        <w:t xml:space="preserve"> will be achieved, and </w:t>
      </w:r>
      <w:r w:rsidR="004079BA" w:rsidRPr="00B32BDB">
        <w:rPr>
          <w:rFonts w:cs="Arial"/>
          <w:szCs w:val="22"/>
        </w:rPr>
        <w:t>local communities</w:t>
      </w:r>
      <w:r w:rsidR="00AA6EB2" w:rsidRPr="00B32BDB">
        <w:rPr>
          <w:rFonts w:cs="Arial"/>
          <w:szCs w:val="22"/>
        </w:rPr>
        <w:t xml:space="preserve"> </w:t>
      </w:r>
      <w:r w:rsidR="004079BA" w:rsidRPr="00B32BDB">
        <w:rPr>
          <w:rFonts w:cs="Arial"/>
          <w:szCs w:val="22"/>
        </w:rPr>
        <w:t>in Libya</w:t>
      </w:r>
      <w:r w:rsidRPr="00B32BDB">
        <w:rPr>
          <w:rFonts w:cs="Arial"/>
          <w:szCs w:val="22"/>
        </w:rPr>
        <w:t xml:space="preserve"> will be one step closer to </w:t>
      </w:r>
      <w:r w:rsidR="00AA6EB2" w:rsidRPr="00B32BDB">
        <w:rPr>
          <w:rFonts w:cs="Arial"/>
          <w:szCs w:val="22"/>
        </w:rPr>
        <w:t xml:space="preserve">stabilization and a </w:t>
      </w:r>
      <w:r w:rsidRPr="00B32BDB">
        <w:rPr>
          <w:rFonts w:cs="Arial"/>
          <w:szCs w:val="22"/>
        </w:rPr>
        <w:t xml:space="preserve">sustainable economic </w:t>
      </w:r>
      <w:r w:rsidR="004079BA" w:rsidRPr="00B32BDB">
        <w:rPr>
          <w:rFonts w:cs="Arial"/>
          <w:szCs w:val="22"/>
        </w:rPr>
        <w:t>recovery</w:t>
      </w:r>
      <w:r w:rsidRPr="00B32BDB">
        <w:rPr>
          <w:rFonts w:cs="Arial"/>
          <w:szCs w:val="22"/>
        </w:rPr>
        <w:t>.</w:t>
      </w:r>
    </w:p>
    <w:p w14:paraId="5EB1E508" w14:textId="77777777" w:rsidR="00172772" w:rsidRPr="00AA6EB2" w:rsidRDefault="00172772" w:rsidP="00BA263E">
      <w:pPr>
        <w:spacing w:before="60" w:after="0"/>
        <w:rPr>
          <w:rFonts w:cs="Arial"/>
          <w:szCs w:val="22"/>
        </w:rPr>
      </w:pPr>
    </w:p>
    <w:p w14:paraId="08D18C91" w14:textId="69AC3C8B" w:rsidR="00B57C7A" w:rsidRDefault="00B57C7A" w:rsidP="00BA263E">
      <w:pPr>
        <w:keepNext/>
        <w:keepLines/>
        <w:spacing w:before="60" w:after="0"/>
        <w:outlineLvl w:val="1"/>
        <w:rPr>
          <w:rFonts w:cs="Arial"/>
          <w:szCs w:val="22"/>
        </w:rPr>
      </w:pPr>
      <w:r w:rsidRPr="00AA6EB2">
        <w:rPr>
          <w:rFonts w:cs="Arial"/>
          <w:szCs w:val="22"/>
        </w:rPr>
        <w:t xml:space="preserve">The Theory of Change is based on the following external </w:t>
      </w:r>
      <w:r w:rsidRPr="00AA6EB2">
        <w:rPr>
          <w:rFonts w:cs="Arial"/>
          <w:i/>
          <w:szCs w:val="22"/>
        </w:rPr>
        <w:t>pre-conditions</w:t>
      </w:r>
      <w:r w:rsidRPr="00AA6EB2">
        <w:rPr>
          <w:rFonts w:cs="Arial"/>
          <w:szCs w:val="22"/>
        </w:rPr>
        <w:t>:</w:t>
      </w:r>
    </w:p>
    <w:p w14:paraId="0F9B9C22" w14:textId="77777777" w:rsidR="00172772" w:rsidRPr="00AA6EB2" w:rsidRDefault="00172772" w:rsidP="00BA263E">
      <w:pPr>
        <w:keepNext/>
        <w:keepLines/>
        <w:spacing w:before="60" w:after="0"/>
        <w:outlineLvl w:val="1"/>
        <w:rPr>
          <w:rFonts w:cs="Arial"/>
          <w:szCs w:val="22"/>
        </w:rPr>
      </w:pPr>
    </w:p>
    <w:p w14:paraId="6A0A53D1" w14:textId="08DF9C32" w:rsidR="00B57C7A" w:rsidRPr="00AA6EB2" w:rsidRDefault="00B57C7A" w:rsidP="00BA263E">
      <w:pPr>
        <w:pStyle w:val="ListParagraph"/>
        <w:numPr>
          <w:ilvl w:val="0"/>
          <w:numId w:val="47"/>
        </w:numPr>
        <w:spacing w:before="60"/>
        <w:contextualSpacing w:val="0"/>
        <w:jc w:val="both"/>
        <w:rPr>
          <w:rFonts w:ascii="Arial" w:hAnsi="Arial" w:cs="Arial"/>
          <w:color w:val="000000"/>
          <w:sz w:val="22"/>
          <w:szCs w:val="22"/>
        </w:rPr>
      </w:pPr>
      <w:r w:rsidRPr="00AA6EB2">
        <w:rPr>
          <w:rFonts w:ascii="Arial" w:hAnsi="Arial" w:cs="Arial"/>
          <w:color w:val="000000"/>
          <w:sz w:val="22"/>
          <w:szCs w:val="22"/>
        </w:rPr>
        <w:t xml:space="preserve">The </w:t>
      </w:r>
      <w:r w:rsidR="00AA6EB2">
        <w:rPr>
          <w:rFonts w:ascii="Arial" w:hAnsi="Arial" w:cs="Arial"/>
          <w:color w:val="000000"/>
          <w:sz w:val="22"/>
          <w:szCs w:val="22"/>
        </w:rPr>
        <w:t>areas which have been relatively stable/secure, especially through partnership with UNDP, remain</w:t>
      </w:r>
      <w:r w:rsidRPr="00AA6EB2">
        <w:rPr>
          <w:rFonts w:ascii="Arial" w:hAnsi="Arial" w:cs="Arial"/>
          <w:color w:val="000000"/>
          <w:sz w:val="22"/>
          <w:szCs w:val="22"/>
        </w:rPr>
        <w:t xml:space="preserve"> committed to the </w:t>
      </w:r>
      <w:r w:rsidR="00AA6EB2">
        <w:rPr>
          <w:rFonts w:ascii="Arial" w:hAnsi="Arial" w:cs="Arial"/>
          <w:color w:val="000000"/>
          <w:sz w:val="22"/>
          <w:szCs w:val="22"/>
        </w:rPr>
        <w:t>achieved</w:t>
      </w:r>
      <w:r w:rsidRPr="00AA6EB2">
        <w:rPr>
          <w:rFonts w:ascii="Arial" w:hAnsi="Arial" w:cs="Arial"/>
          <w:color w:val="000000"/>
          <w:sz w:val="22"/>
          <w:szCs w:val="22"/>
        </w:rPr>
        <w:t xml:space="preserve"> </w:t>
      </w:r>
      <w:r w:rsidR="00AA6EB2">
        <w:rPr>
          <w:rFonts w:ascii="Arial" w:hAnsi="Arial" w:cs="Arial"/>
          <w:color w:val="000000"/>
          <w:sz w:val="22"/>
          <w:szCs w:val="22"/>
        </w:rPr>
        <w:t>progress and partnership with UNDP Libya</w:t>
      </w:r>
      <w:r w:rsidRPr="00AA6EB2">
        <w:rPr>
          <w:rFonts w:ascii="Arial" w:hAnsi="Arial" w:cs="Arial"/>
          <w:color w:val="000000"/>
          <w:sz w:val="22"/>
          <w:szCs w:val="22"/>
        </w:rPr>
        <w:t>;</w:t>
      </w:r>
    </w:p>
    <w:p w14:paraId="293E5B29" w14:textId="6B0743BD" w:rsidR="00B57C7A" w:rsidRPr="00AA6EB2" w:rsidRDefault="00AA6EB2" w:rsidP="00BA263E">
      <w:pPr>
        <w:pStyle w:val="ListParagraph"/>
        <w:numPr>
          <w:ilvl w:val="0"/>
          <w:numId w:val="47"/>
        </w:numPr>
        <w:spacing w:before="60"/>
        <w:contextualSpacing w:val="0"/>
        <w:jc w:val="both"/>
        <w:rPr>
          <w:rFonts w:ascii="Arial" w:hAnsi="Arial" w:cs="Arial"/>
          <w:color w:val="000000"/>
          <w:sz w:val="22"/>
          <w:szCs w:val="22"/>
        </w:rPr>
      </w:pPr>
      <w:r>
        <w:rPr>
          <w:rFonts w:ascii="Arial" w:hAnsi="Arial" w:cs="Arial"/>
          <w:color w:val="000000"/>
          <w:sz w:val="22"/>
          <w:szCs w:val="22"/>
        </w:rPr>
        <w:t>The national reconciliation process continues in an engaging and meaningful way, ensuring the military-based conflict does not reignite or spread to peaceful areas</w:t>
      </w:r>
      <w:r w:rsidR="00B57C7A" w:rsidRPr="00AA6EB2">
        <w:rPr>
          <w:rFonts w:ascii="Arial" w:hAnsi="Arial" w:cs="Arial"/>
          <w:color w:val="000000"/>
          <w:sz w:val="22"/>
          <w:szCs w:val="22"/>
        </w:rPr>
        <w:t>;</w:t>
      </w:r>
    </w:p>
    <w:p w14:paraId="4A99238A" w14:textId="77777777" w:rsidR="00AA6EB2" w:rsidRDefault="00AA6EB2" w:rsidP="00AA6EB2">
      <w:pPr>
        <w:pStyle w:val="ListParagraph"/>
        <w:numPr>
          <w:ilvl w:val="0"/>
          <w:numId w:val="47"/>
        </w:numPr>
        <w:spacing w:before="60"/>
        <w:contextualSpacing w:val="0"/>
        <w:jc w:val="both"/>
        <w:rPr>
          <w:rFonts w:ascii="Arial" w:hAnsi="Arial" w:cs="Arial"/>
          <w:color w:val="000000"/>
          <w:sz w:val="22"/>
          <w:szCs w:val="22"/>
        </w:rPr>
      </w:pPr>
      <w:r>
        <w:rPr>
          <w:rFonts w:ascii="Arial" w:hAnsi="Arial" w:cs="Arial"/>
          <w:color w:val="000000"/>
          <w:sz w:val="22"/>
          <w:szCs w:val="22"/>
        </w:rPr>
        <w:t>Business community engagement takes place and is sustained over time.</w:t>
      </w:r>
    </w:p>
    <w:p w14:paraId="6060F60A" w14:textId="097E3A8F" w:rsidR="003009AA" w:rsidRPr="00AA6EB2" w:rsidRDefault="00B57C7A" w:rsidP="00AA6EB2">
      <w:pPr>
        <w:spacing w:before="60"/>
        <w:rPr>
          <w:rFonts w:cs="Arial"/>
          <w:color w:val="000000"/>
          <w:szCs w:val="22"/>
        </w:rPr>
      </w:pPr>
      <w:r w:rsidRPr="00AA6EB2">
        <w:rPr>
          <w:rFonts w:cs="Arial"/>
          <w:color w:val="000000"/>
          <w:szCs w:val="22"/>
        </w:rPr>
        <w:t xml:space="preserve"> </w:t>
      </w:r>
    </w:p>
    <w:p w14:paraId="5F106EAF" w14:textId="01767C17" w:rsidR="0018597D" w:rsidRPr="00DB1D8D" w:rsidRDefault="00ED756E" w:rsidP="00DB1D8D">
      <w:pPr>
        <w:spacing w:afterLines="120" w:after="288"/>
        <w:rPr>
          <w:rFonts w:cs="Arial"/>
          <w:b/>
          <w:szCs w:val="22"/>
        </w:rPr>
      </w:pPr>
      <w:r w:rsidRPr="00DB1D8D">
        <w:rPr>
          <w:rFonts w:cs="Arial"/>
          <w:b/>
          <w:szCs w:val="22"/>
        </w:rPr>
        <w:t>3</w:t>
      </w:r>
      <w:r w:rsidR="0018597D" w:rsidRPr="00DB1D8D">
        <w:rPr>
          <w:rFonts w:cs="Arial"/>
          <w:b/>
          <w:szCs w:val="22"/>
        </w:rPr>
        <w:t>.</w:t>
      </w:r>
      <w:r w:rsidR="00F80A9B" w:rsidRPr="00DB1D8D">
        <w:rPr>
          <w:rFonts w:cs="Arial"/>
          <w:b/>
          <w:szCs w:val="22"/>
        </w:rPr>
        <w:t>2</w:t>
      </w:r>
      <w:r w:rsidR="0018597D" w:rsidRPr="00DB1D8D">
        <w:rPr>
          <w:rFonts w:cs="Arial"/>
          <w:b/>
          <w:szCs w:val="22"/>
        </w:rPr>
        <w:t xml:space="preserve">. Rationale </w:t>
      </w:r>
    </w:p>
    <w:p w14:paraId="439CC8B2" w14:textId="4DFCAC0C" w:rsidR="00DB1D8D" w:rsidRPr="00DB1D8D" w:rsidRDefault="00DB1D8D" w:rsidP="00DB1D8D">
      <w:pPr>
        <w:spacing w:afterLines="120" w:after="288"/>
        <w:rPr>
          <w:rFonts w:cs="Arial"/>
          <w:sz w:val="24"/>
          <w:lang w:val="en-US"/>
        </w:rPr>
      </w:pPr>
      <w:r w:rsidRPr="00DB1D8D">
        <w:rPr>
          <w:rFonts w:cs="Arial"/>
          <w:szCs w:val="22"/>
          <w:lang w:val="en-US"/>
        </w:rPr>
        <w:t>Economic development is an important component of recovery and peacebuilding in conflict- affected areas</w:t>
      </w:r>
      <w:r>
        <w:rPr>
          <w:rFonts w:cs="Arial"/>
          <w:szCs w:val="22"/>
          <w:lang w:val="en-US"/>
        </w:rPr>
        <w:t>.</w:t>
      </w:r>
      <w:r w:rsidRPr="00DB1D8D">
        <w:rPr>
          <w:rFonts w:cs="Arial"/>
          <w:szCs w:val="22"/>
          <w:lang w:val="en-US"/>
        </w:rPr>
        <w:t xml:space="preserve"> </w:t>
      </w:r>
      <w:r>
        <w:rPr>
          <w:rFonts w:cs="Arial"/>
          <w:szCs w:val="22"/>
          <w:lang w:val="en-US"/>
        </w:rPr>
        <w:t>Moreover, s</w:t>
      </w:r>
      <w:r w:rsidRPr="00DB1D8D">
        <w:rPr>
          <w:rFonts w:cs="Arial"/>
          <w:szCs w:val="22"/>
          <w:lang w:val="en-US"/>
        </w:rPr>
        <w:t>trengthening local business capacity, including those led by women</w:t>
      </w:r>
      <w:r w:rsidR="00DD2FB3">
        <w:rPr>
          <w:rFonts w:cs="Arial"/>
          <w:szCs w:val="22"/>
          <w:lang w:val="en-US"/>
        </w:rPr>
        <w:t>.</w:t>
      </w:r>
      <w:r w:rsidRPr="00DB1D8D">
        <w:rPr>
          <w:rFonts w:cs="Arial"/>
          <w:szCs w:val="22"/>
          <w:lang w:val="en-US"/>
        </w:rPr>
        <w:t xml:space="preserve"> </w:t>
      </w:r>
      <w:r w:rsidRPr="00B32BDB">
        <w:rPr>
          <w:rFonts w:cs="Arial"/>
          <w:szCs w:val="22"/>
          <w:lang w:val="en-US"/>
        </w:rPr>
        <w:t xml:space="preserve">As such, livelihood opportunities are at the forefront of recovery in the conflict-affected areas, as they often propel local growth and underpin effective recovery efforts by providing income-generating opportunities. Opportunities arise both directly via employment and indirectly via demand for goods and services and are then sources of income not only for the entrepreneurs themselves, but for the additional personnel they hire, thus </w:t>
      </w:r>
      <w:r w:rsidR="004E5C97">
        <w:rPr>
          <w:rFonts w:cs="Arial"/>
          <w:szCs w:val="22"/>
          <w:lang w:val="en-US"/>
        </w:rPr>
        <w:t xml:space="preserve">increasing employment opportunities. </w:t>
      </w:r>
    </w:p>
    <w:p w14:paraId="70CC2014" w14:textId="365439B6" w:rsidR="00DB1D8D" w:rsidRPr="00DB1D8D" w:rsidRDefault="00DB1D8D" w:rsidP="00DB1D8D">
      <w:pPr>
        <w:spacing w:afterLines="120" w:after="288"/>
        <w:rPr>
          <w:rFonts w:cs="Arial"/>
          <w:sz w:val="24"/>
          <w:lang w:val="en-US"/>
        </w:rPr>
      </w:pPr>
      <w:r w:rsidRPr="00DB1D8D">
        <w:rPr>
          <w:rFonts w:cs="Arial"/>
          <w:szCs w:val="22"/>
          <w:lang w:val="en-US"/>
        </w:rPr>
        <w:t>Further, by empowering individuals to take some of their region’s economic recovery into their own hands</w:t>
      </w:r>
      <w:r>
        <w:rPr>
          <w:rFonts w:cs="Arial"/>
          <w:szCs w:val="22"/>
          <w:lang w:val="en-US"/>
        </w:rPr>
        <w:t xml:space="preserve"> – such as this project proposes in Output 2,</w:t>
      </w:r>
      <w:r w:rsidRPr="00DB1D8D">
        <w:rPr>
          <w:rFonts w:cs="Arial"/>
          <w:szCs w:val="22"/>
          <w:lang w:val="en-US"/>
        </w:rPr>
        <w:t xml:space="preserve"> restoration is rendered more sustainable, particularly as locals become involved. </w:t>
      </w:r>
      <w:r w:rsidR="007B20FF">
        <w:rPr>
          <w:rFonts w:cs="Arial"/>
          <w:szCs w:val="22"/>
          <w:lang w:val="en-US"/>
        </w:rPr>
        <w:t>Supporting new livelihoods initiatives</w:t>
      </w:r>
      <w:r w:rsidRPr="00DB1D8D">
        <w:rPr>
          <w:rFonts w:cs="Arial"/>
          <w:szCs w:val="22"/>
          <w:lang w:val="en-US"/>
        </w:rPr>
        <w:t xml:space="preserve"> not only stand</w:t>
      </w:r>
      <w:r w:rsidR="007B20FF">
        <w:rPr>
          <w:rFonts w:cs="Arial"/>
          <w:szCs w:val="22"/>
          <w:lang w:val="en-US"/>
        </w:rPr>
        <w:t>s</w:t>
      </w:r>
      <w:r w:rsidRPr="00DB1D8D">
        <w:rPr>
          <w:rFonts w:cs="Arial"/>
          <w:szCs w:val="22"/>
          <w:lang w:val="en-US"/>
        </w:rPr>
        <w:t xml:space="preserve"> as one of the best ways for ensuring personal financial security and pushing forward economic recovery at a </w:t>
      </w:r>
      <w:r w:rsidR="007B20FF">
        <w:rPr>
          <w:rFonts w:cs="Arial"/>
          <w:szCs w:val="22"/>
          <w:lang w:val="en-US"/>
        </w:rPr>
        <w:t>local level</w:t>
      </w:r>
      <w:r w:rsidRPr="00DB1D8D">
        <w:rPr>
          <w:rFonts w:cs="Arial"/>
          <w:szCs w:val="22"/>
          <w:lang w:val="en-US"/>
        </w:rPr>
        <w:t xml:space="preserve"> in </w:t>
      </w:r>
      <w:r w:rsidR="007B20FF">
        <w:rPr>
          <w:rFonts w:cs="Arial"/>
          <w:szCs w:val="22"/>
          <w:lang w:val="en-US"/>
        </w:rPr>
        <w:t>Libya</w:t>
      </w:r>
      <w:r w:rsidRPr="00DB1D8D">
        <w:rPr>
          <w:rFonts w:cs="Arial"/>
          <w:szCs w:val="22"/>
          <w:lang w:val="en-US"/>
        </w:rPr>
        <w:t xml:space="preserve">, but also as ideal venues for </w:t>
      </w:r>
      <w:r w:rsidR="007B20FF">
        <w:rPr>
          <w:rFonts w:cs="Arial"/>
          <w:szCs w:val="22"/>
          <w:lang w:val="en-US"/>
        </w:rPr>
        <w:t>social cohesion, women and youth empowerment, and stabilization.</w:t>
      </w:r>
      <w:r w:rsidRPr="00DB1D8D">
        <w:rPr>
          <w:rFonts w:cs="Arial"/>
          <w:szCs w:val="22"/>
          <w:lang w:val="en-US"/>
        </w:rPr>
        <w:t xml:space="preserve"> Consequently, this also quickens </w:t>
      </w:r>
      <w:r w:rsidR="007B20FF">
        <w:rPr>
          <w:rFonts w:cs="Arial"/>
          <w:szCs w:val="22"/>
          <w:lang w:val="en-US"/>
        </w:rPr>
        <w:t xml:space="preserve">pace toward </w:t>
      </w:r>
      <w:r w:rsidRPr="00DB1D8D">
        <w:rPr>
          <w:rFonts w:cs="Arial"/>
          <w:szCs w:val="22"/>
          <w:lang w:val="en-US"/>
        </w:rPr>
        <w:t xml:space="preserve">the fulfilment of </w:t>
      </w:r>
      <w:r w:rsidR="007B20FF">
        <w:rPr>
          <w:rFonts w:cs="Arial"/>
          <w:szCs w:val="22"/>
          <w:lang w:val="en-US"/>
        </w:rPr>
        <w:t xml:space="preserve">several </w:t>
      </w:r>
      <w:r w:rsidRPr="00DB1D8D">
        <w:rPr>
          <w:rFonts w:cs="Arial"/>
          <w:szCs w:val="22"/>
          <w:lang w:val="en-US"/>
        </w:rPr>
        <w:t>SDGs.</w:t>
      </w:r>
    </w:p>
    <w:p w14:paraId="6EC6AF9E" w14:textId="6F15ED6B" w:rsidR="0018597D" w:rsidRPr="00DB1D8D" w:rsidRDefault="00ED756E" w:rsidP="00DB1D8D">
      <w:pPr>
        <w:spacing w:afterLines="120" w:after="288"/>
        <w:rPr>
          <w:rFonts w:cs="Arial"/>
          <w:b/>
          <w:szCs w:val="22"/>
        </w:rPr>
      </w:pPr>
      <w:r w:rsidRPr="00DB1D8D">
        <w:rPr>
          <w:rFonts w:cs="Arial"/>
          <w:b/>
          <w:szCs w:val="22"/>
        </w:rPr>
        <w:t>3</w:t>
      </w:r>
      <w:r w:rsidR="0018597D" w:rsidRPr="00DB1D8D">
        <w:rPr>
          <w:rFonts w:cs="Arial"/>
          <w:b/>
          <w:szCs w:val="22"/>
        </w:rPr>
        <w:t>.</w:t>
      </w:r>
      <w:r w:rsidR="00F80A9B" w:rsidRPr="00DB1D8D">
        <w:rPr>
          <w:rFonts w:cs="Arial"/>
          <w:b/>
          <w:szCs w:val="22"/>
        </w:rPr>
        <w:t>3</w:t>
      </w:r>
      <w:r w:rsidR="0018597D" w:rsidRPr="00DB1D8D">
        <w:rPr>
          <w:rFonts w:cs="Arial"/>
          <w:b/>
          <w:szCs w:val="22"/>
        </w:rPr>
        <w:t>. Insights and Lessons Learned to date</w:t>
      </w:r>
    </w:p>
    <w:p w14:paraId="56F91954" w14:textId="26BA370E" w:rsidR="003126FE" w:rsidRDefault="003126FE" w:rsidP="00DB1D8D">
      <w:pPr>
        <w:spacing w:afterLines="120" w:after="288"/>
        <w:rPr>
          <w:rFonts w:cs="Arial"/>
          <w:szCs w:val="22"/>
        </w:rPr>
      </w:pPr>
      <w:r>
        <w:rPr>
          <w:rFonts w:cs="Arial"/>
          <w:szCs w:val="22"/>
        </w:rPr>
        <w:t xml:space="preserve">UNDP Libya’s implementation of SFL and SLCRR, among other projects, has positioned it to further deepen its engagement with Libyan society. </w:t>
      </w:r>
      <w:r w:rsidR="00EA7FBF">
        <w:rPr>
          <w:rFonts w:cs="Arial"/>
          <w:szCs w:val="22"/>
        </w:rPr>
        <w:t>It has worked with local partners to implement and monitor community-based support programmes, improve basic infrastructure and services, conduct assessments, and build the capacities of government authorities and CSOs.</w:t>
      </w:r>
    </w:p>
    <w:p w14:paraId="62B2222A" w14:textId="53267C20" w:rsidR="00123AE9" w:rsidRPr="00123AE9" w:rsidRDefault="00123AE9" w:rsidP="00123AE9">
      <w:pPr>
        <w:spacing w:after="120"/>
        <w:rPr>
          <w:rFonts w:cs="Arial"/>
          <w:color w:val="222222"/>
          <w:szCs w:val="22"/>
          <w:shd w:val="clear" w:color="auto" w:fill="FFFFFF"/>
          <w:lang w:val="en-US"/>
        </w:rPr>
      </w:pPr>
      <w:r w:rsidRPr="00B32BDB">
        <w:rPr>
          <w:rFonts w:cs="Arial"/>
          <w:color w:val="222222"/>
          <w:szCs w:val="22"/>
          <w:shd w:val="clear" w:color="auto" w:fill="FFFFFF"/>
          <w:lang w:val="en-US"/>
        </w:rPr>
        <w:t>Conflict sensitivity assessments were conducted</w:t>
      </w:r>
      <w:r w:rsidR="00ED5448">
        <w:rPr>
          <w:rFonts w:cs="Arial"/>
          <w:color w:val="222222"/>
          <w:szCs w:val="22"/>
          <w:shd w:val="clear" w:color="auto" w:fill="FFFFFF"/>
          <w:lang w:val="en-US"/>
        </w:rPr>
        <w:t xml:space="preserve"> </w:t>
      </w:r>
      <w:r w:rsidR="00555691">
        <w:rPr>
          <w:rFonts w:cs="Arial"/>
          <w:color w:val="222222"/>
          <w:szCs w:val="22"/>
          <w:shd w:val="clear" w:color="auto" w:fill="FFFFFF"/>
          <w:lang w:val="en-US"/>
        </w:rPr>
        <w:t xml:space="preserve">in </w:t>
      </w:r>
      <w:r w:rsidR="007164DF">
        <w:rPr>
          <w:rFonts w:cs="Arial"/>
          <w:color w:val="222222"/>
          <w:szCs w:val="22"/>
          <w:shd w:val="clear" w:color="auto" w:fill="FFFFFF"/>
          <w:lang w:val="en-US"/>
        </w:rPr>
        <w:t>2017-2018</w:t>
      </w:r>
      <w:r w:rsidRPr="00123AE9">
        <w:rPr>
          <w:rFonts w:cs="Arial"/>
          <w:color w:val="222222"/>
          <w:szCs w:val="22"/>
          <w:shd w:val="clear" w:color="auto" w:fill="FFFFFF"/>
          <w:lang w:val="en-US"/>
        </w:rPr>
        <w:t xml:space="preserve"> for Benghazi, Kufra, Murzuq, Sabha and Sabratha. 326 people, including 19,6% women, engaged in town hall consultations across the five areas: Sabratha, Sebha, Murzuq, Benghazi and Kufra. The social peace and local development partnerships were further strengthened with two-day training sessions run by Peaceful Change Initiative (PC</w:t>
      </w:r>
      <w:r w:rsidR="00E677B9">
        <w:rPr>
          <w:rFonts w:cs="Arial"/>
          <w:color w:val="222222"/>
          <w:szCs w:val="22"/>
          <w:shd w:val="clear" w:color="auto" w:fill="FFFFFF"/>
          <w:lang w:val="en-US"/>
        </w:rPr>
        <w:t>I</w:t>
      </w:r>
      <w:r w:rsidRPr="00123AE9">
        <w:rPr>
          <w:rFonts w:cs="Arial"/>
          <w:color w:val="222222"/>
          <w:szCs w:val="22"/>
          <w:shd w:val="clear" w:color="auto" w:fill="FFFFFF"/>
          <w:lang w:val="en-US"/>
        </w:rPr>
        <w:t>) where 124 people (including 32% women) enhanced their skills in conflict management and dialogues. Other 152 people (42% women) were engaged in local social accountability mechanisms enhancing the understanding on project interventions on the ground and establishing a direct dialogue between key community stakeholders, authorities, local peace partnership and UNDP local coordinators. In total, over 600 people were involved in conflict-sensitivity discussions, including 30% women.</w:t>
      </w:r>
      <w:r w:rsidR="00E677B9">
        <w:rPr>
          <w:rFonts w:cs="Arial"/>
          <w:color w:val="222222"/>
          <w:szCs w:val="22"/>
          <w:shd w:val="clear" w:color="auto" w:fill="FFFFFF"/>
          <w:lang w:val="en-US"/>
        </w:rPr>
        <w:t xml:space="preserve"> This engagement will contribute a better designed intervention that will contribute to social peace and avoid doing additional harm.</w:t>
      </w:r>
    </w:p>
    <w:p w14:paraId="505FEC78" w14:textId="51B1925D" w:rsidR="00123AE9" w:rsidRPr="00EA7FBF" w:rsidRDefault="00EA7FBF" w:rsidP="00EA7FBF">
      <w:pPr>
        <w:shd w:val="clear" w:color="auto" w:fill="FFFFFF"/>
        <w:spacing w:after="120"/>
        <w:rPr>
          <w:rFonts w:cs="Arial"/>
          <w:color w:val="222222"/>
          <w:szCs w:val="22"/>
        </w:rPr>
      </w:pPr>
      <w:r w:rsidRPr="00EA7FBF">
        <w:rPr>
          <w:rFonts w:cs="Arial"/>
          <w:color w:val="222222"/>
          <w:szCs w:val="22"/>
        </w:rPr>
        <w:t>A</w:t>
      </w:r>
      <w:r>
        <w:rPr>
          <w:rFonts w:cs="Arial"/>
          <w:color w:val="222222"/>
          <w:szCs w:val="22"/>
        </w:rPr>
        <w:t xml:space="preserve"> previous</w:t>
      </w:r>
      <w:r w:rsidRPr="00EA7FBF">
        <w:rPr>
          <w:rFonts w:cs="Arial"/>
          <w:color w:val="222222"/>
          <w:szCs w:val="22"/>
        </w:rPr>
        <w:t xml:space="preserve"> </w:t>
      </w:r>
      <w:r w:rsidR="00A83254">
        <w:rPr>
          <w:rFonts w:cs="Arial"/>
          <w:color w:val="222222"/>
          <w:szCs w:val="22"/>
        </w:rPr>
        <w:t xml:space="preserve">UNDP </w:t>
      </w:r>
      <w:r w:rsidRPr="00EA7FBF">
        <w:rPr>
          <w:rFonts w:cs="Arial"/>
          <w:color w:val="222222"/>
          <w:szCs w:val="22"/>
        </w:rPr>
        <w:t>initiative on entrepreneurship</w:t>
      </w:r>
      <w:r>
        <w:rPr>
          <w:rFonts w:cs="Arial"/>
          <w:color w:val="222222"/>
          <w:szCs w:val="22"/>
        </w:rPr>
        <w:t xml:space="preserve"> </w:t>
      </w:r>
      <w:r w:rsidR="00A83254">
        <w:rPr>
          <w:rFonts w:cs="Arial"/>
          <w:color w:val="222222"/>
          <w:szCs w:val="22"/>
        </w:rPr>
        <w:t xml:space="preserve">in Libya </w:t>
      </w:r>
      <w:r>
        <w:rPr>
          <w:rFonts w:cs="Arial"/>
          <w:color w:val="222222"/>
          <w:szCs w:val="22"/>
        </w:rPr>
        <w:t>saw high interest and participation, demonstrating the interest and need in local communities for livelihoods support. The project engaged</w:t>
      </w:r>
      <w:r w:rsidR="00123AE9" w:rsidRPr="00EA7FBF">
        <w:rPr>
          <w:rFonts w:cs="Arial"/>
          <w:color w:val="222222"/>
          <w:szCs w:val="22"/>
        </w:rPr>
        <w:t xml:space="preserve"> 480 entrepreneurs who received training and over 240 start-up ideas that applied to incubator </w:t>
      </w:r>
      <w:r w:rsidR="00DD1DCD">
        <w:rPr>
          <w:rFonts w:cs="Arial"/>
          <w:color w:val="222222"/>
          <w:szCs w:val="22"/>
        </w:rPr>
        <w:t xml:space="preserve">established </w:t>
      </w:r>
      <w:r w:rsidR="00123AE9" w:rsidRPr="00EA7FBF">
        <w:rPr>
          <w:rFonts w:cs="Arial"/>
          <w:color w:val="222222"/>
          <w:szCs w:val="22"/>
        </w:rPr>
        <w:t xml:space="preserve">or the Impact Fund. Out of 109 applications to the Impact Fund, six start-ups were selected and received grants from the newly established Impact Fund. </w:t>
      </w:r>
      <w:r w:rsidR="00123AE9" w:rsidRPr="00B32BDB">
        <w:rPr>
          <w:rFonts w:cs="Arial"/>
          <w:color w:val="222222"/>
          <w:szCs w:val="22"/>
        </w:rPr>
        <w:t xml:space="preserve">From 2,100 applications, about 483 people were selected </w:t>
      </w:r>
      <w:r w:rsidR="00DD1DCD" w:rsidRPr="00B32BDB">
        <w:rPr>
          <w:rFonts w:cs="Arial"/>
          <w:color w:val="222222"/>
          <w:szCs w:val="22"/>
        </w:rPr>
        <w:t xml:space="preserve">to participate in </w:t>
      </w:r>
      <w:r w:rsidR="00123AE9" w:rsidRPr="00B32BDB">
        <w:rPr>
          <w:rFonts w:cs="Arial"/>
          <w:color w:val="222222"/>
          <w:szCs w:val="22"/>
        </w:rPr>
        <w:t>programs and events, that provided 1,354 hours of training, workshops and mentoring from the start of the implementation period</w:t>
      </w:r>
      <w:r w:rsidR="00123AE9" w:rsidRPr="00EA7FBF">
        <w:rPr>
          <w:rFonts w:cs="Arial"/>
          <w:color w:val="222222"/>
          <w:szCs w:val="22"/>
        </w:rPr>
        <w:t xml:space="preserve"> to December 2018.</w:t>
      </w:r>
    </w:p>
    <w:p w14:paraId="48AB9975" w14:textId="15B3855B" w:rsidR="00123AE9" w:rsidRPr="00123AE9" w:rsidRDefault="00123AE9" w:rsidP="00123AE9">
      <w:pPr>
        <w:shd w:val="clear" w:color="auto" w:fill="FFFFFF"/>
        <w:spacing w:after="120"/>
        <w:rPr>
          <w:rFonts w:cs="Arial"/>
          <w:color w:val="222222"/>
          <w:szCs w:val="22"/>
          <w:lang w:val="en-US"/>
        </w:rPr>
      </w:pPr>
      <w:r w:rsidRPr="00123AE9">
        <w:rPr>
          <w:rFonts w:cs="Arial"/>
          <w:color w:val="000000"/>
          <w:szCs w:val="22"/>
          <w:lang w:val="en-US"/>
        </w:rPr>
        <w:t xml:space="preserve">The most significant challenge and change faced </w:t>
      </w:r>
      <w:r w:rsidR="00EA7FBF">
        <w:rPr>
          <w:rFonts w:cs="Arial"/>
          <w:color w:val="000000"/>
          <w:szCs w:val="22"/>
          <w:lang w:val="en-US"/>
        </w:rPr>
        <w:t xml:space="preserve">to date </w:t>
      </w:r>
      <w:r w:rsidRPr="00123AE9">
        <w:rPr>
          <w:rFonts w:cs="Arial"/>
          <w:color w:val="000000"/>
          <w:szCs w:val="22"/>
          <w:lang w:val="en-US"/>
        </w:rPr>
        <w:t>relates to military escalations in Tripoli. Following a major outbreak of fighting between armed groups in the Libyan capital in September 2018, all staff based in Tripoli have been advised to work remotely</w:t>
      </w:r>
      <w:r w:rsidR="00EA7FBF">
        <w:rPr>
          <w:rFonts w:cs="Arial"/>
          <w:color w:val="000000"/>
          <w:szCs w:val="22"/>
          <w:lang w:val="en-US"/>
        </w:rPr>
        <w:t xml:space="preserve"> </w:t>
      </w:r>
      <w:r w:rsidRPr="00123AE9">
        <w:rPr>
          <w:rFonts w:cs="Arial"/>
          <w:color w:val="000000"/>
          <w:szCs w:val="22"/>
          <w:lang w:val="en-US"/>
        </w:rPr>
        <w:t>from Tunis. The project team and UNDP operations continued, although with significant challenges. T</w:t>
      </w:r>
      <w:r w:rsidR="00EA7FBF">
        <w:rPr>
          <w:rFonts w:cs="Arial"/>
          <w:color w:val="000000"/>
          <w:szCs w:val="22"/>
          <w:lang w:val="en-US"/>
        </w:rPr>
        <w:t>he t</w:t>
      </w:r>
      <w:r w:rsidRPr="00123AE9">
        <w:rPr>
          <w:rFonts w:cs="Arial"/>
          <w:color w:val="000000"/>
          <w:szCs w:val="22"/>
          <w:lang w:val="en-US"/>
        </w:rPr>
        <w:t xml:space="preserve">eam in Tripoli faced frequent and recurrent power cuts and limitations to movement in and around Tripoli, as well as difficulties in travelling outside of Libya due to airport closures. These challenges have affected the activity of project implementing partners leading to </w:t>
      </w:r>
      <w:r w:rsidR="00EA7FBF">
        <w:rPr>
          <w:rFonts w:cs="Arial"/>
          <w:color w:val="000000"/>
          <w:szCs w:val="22"/>
          <w:lang w:val="en-US"/>
        </w:rPr>
        <w:t>implementation delays</w:t>
      </w:r>
      <w:r w:rsidRPr="00123AE9">
        <w:rPr>
          <w:rFonts w:cs="Arial"/>
          <w:color w:val="000000"/>
          <w:szCs w:val="22"/>
          <w:lang w:val="en-US"/>
        </w:rPr>
        <w:t>, and therefore extensions in contract implementation. Nevertheless, the project has focused on delivering outside Tripoli, thus the implementation rate as a whole was not affected.</w:t>
      </w:r>
      <w:r w:rsidR="00EA7FBF">
        <w:rPr>
          <w:rFonts w:cs="Arial"/>
          <w:color w:val="000000"/>
          <w:szCs w:val="22"/>
          <w:lang w:val="en-US"/>
        </w:rPr>
        <w:t xml:space="preserve"> UNDP will continue to work with communities around Libya, including Tripoli, where security permits.</w:t>
      </w:r>
    </w:p>
    <w:p w14:paraId="6BA0C4EE" w14:textId="5A026E3A" w:rsidR="0018597D" w:rsidRPr="00123AE9" w:rsidRDefault="00ED756E" w:rsidP="00123AE9">
      <w:pPr>
        <w:spacing w:afterLines="120" w:after="288"/>
        <w:rPr>
          <w:rFonts w:cs="Arial"/>
          <w:b/>
          <w:szCs w:val="22"/>
        </w:rPr>
      </w:pPr>
      <w:r w:rsidRPr="00123AE9">
        <w:rPr>
          <w:rFonts w:cs="Arial"/>
          <w:b/>
          <w:szCs w:val="22"/>
        </w:rPr>
        <w:t>3</w:t>
      </w:r>
      <w:r w:rsidR="0018597D" w:rsidRPr="00123AE9">
        <w:rPr>
          <w:rFonts w:cs="Arial"/>
          <w:b/>
          <w:szCs w:val="22"/>
        </w:rPr>
        <w:t>.</w:t>
      </w:r>
      <w:r w:rsidR="00F80A9B" w:rsidRPr="00123AE9">
        <w:rPr>
          <w:rFonts w:cs="Arial"/>
          <w:b/>
          <w:szCs w:val="22"/>
        </w:rPr>
        <w:t>4</w:t>
      </w:r>
      <w:r w:rsidR="0018597D" w:rsidRPr="00123AE9">
        <w:rPr>
          <w:rFonts w:cs="Arial"/>
          <w:b/>
          <w:szCs w:val="22"/>
        </w:rPr>
        <w:t>. Project Objective</w:t>
      </w:r>
    </w:p>
    <w:p w14:paraId="28FD64AC" w14:textId="1F77A7D2" w:rsidR="006A5E6B" w:rsidRPr="00123AE9" w:rsidRDefault="006A5E6B" w:rsidP="00123AE9">
      <w:pPr>
        <w:spacing w:afterLines="120" w:after="288"/>
        <w:rPr>
          <w:rFonts w:cs="Arial"/>
          <w:color w:val="000000" w:themeColor="text1"/>
          <w:szCs w:val="22"/>
        </w:rPr>
      </w:pPr>
      <w:r w:rsidRPr="00123AE9">
        <w:rPr>
          <w:rFonts w:cs="Arial"/>
          <w:color w:val="000000" w:themeColor="text1"/>
          <w:szCs w:val="22"/>
        </w:rPr>
        <w:t>The objective is to enhance stabilization, resilience and peace in/for the Libyan society by providing livelihoods opportunities and by prevention of violent extremism, through a holistic, comprehensive approach provided by the Triple Nexus (HDP), for youth and women in particular, including vulnerable host communities and the internally displaced, as well as refugees and migrants living among host communities.</w:t>
      </w:r>
    </w:p>
    <w:p w14:paraId="1D77B150" w14:textId="451BA0AE" w:rsidR="0018597D" w:rsidRPr="00123AE9" w:rsidRDefault="00ED756E" w:rsidP="00123AE9">
      <w:pPr>
        <w:spacing w:afterLines="120" w:after="288"/>
        <w:rPr>
          <w:rFonts w:cs="Arial"/>
          <w:b/>
          <w:szCs w:val="22"/>
        </w:rPr>
      </w:pPr>
      <w:r w:rsidRPr="00693C14">
        <w:rPr>
          <w:rFonts w:cs="Arial"/>
          <w:b/>
          <w:szCs w:val="22"/>
        </w:rPr>
        <w:t>3</w:t>
      </w:r>
      <w:r w:rsidR="0018597D" w:rsidRPr="00693C14">
        <w:rPr>
          <w:rFonts w:cs="Arial"/>
          <w:b/>
          <w:szCs w:val="22"/>
        </w:rPr>
        <w:t>.</w:t>
      </w:r>
      <w:r w:rsidR="00F80A9B" w:rsidRPr="00693C14">
        <w:rPr>
          <w:rFonts w:cs="Arial"/>
          <w:b/>
          <w:szCs w:val="22"/>
        </w:rPr>
        <w:t>5</w:t>
      </w:r>
      <w:r w:rsidR="0018597D" w:rsidRPr="00693C14">
        <w:rPr>
          <w:rFonts w:cs="Arial"/>
          <w:b/>
          <w:szCs w:val="22"/>
        </w:rPr>
        <w:t>. Approach</w:t>
      </w:r>
      <w:r w:rsidR="002C26E6" w:rsidRPr="00693C14">
        <w:rPr>
          <w:rFonts w:cs="Arial"/>
          <w:b/>
          <w:szCs w:val="22"/>
        </w:rPr>
        <w:t>es</w:t>
      </w:r>
    </w:p>
    <w:p w14:paraId="782A4633" w14:textId="5B784CB9" w:rsidR="004071C0" w:rsidRDefault="004071C0" w:rsidP="00586902">
      <w:pPr>
        <w:spacing w:after="120"/>
        <w:rPr>
          <w:rFonts w:cs="Arial"/>
          <w:bCs/>
          <w:szCs w:val="22"/>
        </w:rPr>
      </w:pPr>
      <w:r w:rsidRPr="00123AE9">
        <w:rPr>
          <w:rFonts w:cs="Arial"/>
          <w:bCs/>
          <w:szCs w:val="22"/>
        </w:rPr>
        <w:t xml:space="preserve">The project is aligned with the principle of </w:t>
      </w:r>
      <w:r w:rsidRPr="00B32BDB">
        <w:rPr>
          <w:rFonts w:cs="Arial"/>
          <w:bCs/>
          <w:szCs w:val="22"/>
        </w:rPr>
        <w:t>Human Security approach as</w:t>
      </w:r>
      <w:r w:rsidRPr="00123AE9">
        <w:rPr>
          <w:rFonts w:cs="Arial"/>
          <w:bCs/>
          <w:szCs w:val="22"/>
        </w:rPr>
        <w:t xml:space="preserve"> it encompasses a comprehensive response to address the multiple aspects of human insecurity that people in Libya are experiencing. The project will take a people-centred approach by focusing on stabilizing and building resilience of people and communities through strengthening their ability to cope, recover, and lay the foundations for better recovery and development during and after the crisis.</w:t>
      </w:r>
    </w:p>
    <w:p w14:paraId="5AF400F7" w14:textId="349488A9" w:rsidR="004764EB" w:rsidRPr="00123AE9" w:rsidRDefault="004764EB" w:rsidP="00586902">
      <w:pPr>
        <w:spacing w:after="120"/>
        <w:rPr>
          <w:rFonts w:cs="Arial"/>
          <w:bCs/>
          <w:szCs w:val="22"/>
        </w:rPr>
      </w:pPr>
      <w:r>
        <w:rPr>
          <w:rFonts w:cs="Arial"/>
          <w:bCs/>
          <w:szCs w:val="22"/>
        </w:rPr>
        <w:t>Specifically, UNDP Libya and its local partners will take the following approach:</w:t>
      </w:r>
    </w:p>
    <w:p w14:paraId="49AC621C" w14:textId="11648DCD" w:rsidR="004071C0" w:rsidRPr="00123AE9" w:rsidRDefault="004071C0" w:rsidP="00586902">
      <w:pPr>
        <w:pStyle w:val="ListParagraph"/>
        <w:numPr>
          <w:ilvl w:val="0"/>
          <w:numId w:val="57"/>
        </w:numPr>
        <w:spacing w:after="120"/>
        <w:contextualSpacing w:val="0"/>
        <w:jc w:val="both"/>
        <w:rPr>
          <w:rFonts w:ascii="Arial" w:hAnsi="Arial" w:cs="Arial"/>
          <w:sz w:val="22"/>
          <w:szCs w:val="22"/>
        </w:rPr>
      </w:pPr>
      <w:r w:rsidRPr="00123AE9">
        <w:rPr>
          <w:rFonts w:ascii="Arial" w:hAnsi="Arial" w:cs="Arial"/>
          <w:sz w:val="22"/>
          <w:szCs w:val="22"/>
        </w:rPr>
        <w:t>Bottom-up, community approach</w:t>
      </w:r>
      <w:r w:rsidR="004764EB">
        <w:rPr>
          <w:rFonts w:ascii="Arial" w:hAnsi="Arial" w:cs="Arial"/>
          <w:sz w:val="22"/>
          <w:szCs w:val="22"/>
        </w:rPr>
        <w:t xml:space="preserve"> that takes lead from the insights and direction of local business actors, community members, and vulnerable populations.</w:t>
      </w:r>
    </w:p>
    <w:p w14:paraId="227B2131" w14:textId="53B8686F" w:rsidR="004071C0" w:rsidRPr="00123AE9" w:rsidRDefault="00586902" w:rsidP="00586902">
      <w:pPr>
        <w:pStyle w:val="ListParagraph"/>
        <w:numPr>
          <w:ilvl w:val="0"/>
          <w:numId w:val="57"/>
        </w:numPr>
        <w:spacing w:after="120"/>
        <w:contextualSpacing w:val="0"/>
        <w:jc w:val="both"/>
        <w:rPr>
          <w:rFonts w:ascii="Arial" w:hAnsi="Arial" w:cs="Arial"/>
          <w:sz w:val="22"/>
          <w:szCs w:val="22"/>
        </w:rPr>
      </w:pPr>
      <w:r>
        <w:rPr>
          <w:rFonts w:ascii="Arial" w:hAnsi="Arial" w:cs="Arial"/>
          <w:color w:val="000000" w:themeColor="text1"/>
          <w:sz w:val="22"/>
          <w:szCs w:val="22"/>
          <w:lang w:val="en-GB"/>
        </w:rPr>
        <w:t>A</w:t>
      </w:r>
      <w:r w:rsidR="004071C0" w:rsidRPr="00123AE9">
        <w:rPr>
          <w:rFonts w:ascii="Arial" w:hAnsi="Arial" w:cs="Arial"/>
          <w:color w:val="000000" w:themeColor="text1"/>
          <w:sz w:val="22"/>
          <w:szCs w:val="22"/>
          <w:lang w:val="en-GB"/>
        </w:rPr>
        <w:t xml:space="preserve"> holistic, comprehensive approach provided by the Triple Nexus (HDP), for youth and women in particular, including vulnerable host communities and the internally displaced, as well as refugees and migrants living among host communities.</w:t>
      </w:r>
    </w:p>
    <w:p w14:paraId="0FDB04D6" w14:textId="5DA1F2EB" w:rsidR="004071C0" w:rsidRPr="00A019A4" w:rsidRDefault="004071C0" w:rsidP="00586902">
      <w:pPr>
        <w:pStyle w:val="ListParagraph"/>
        <w:numPr>
          <w:ilvl w:val="0"/>
          <w:numId w:val="57"/>
        </w:numPr>
        <w:spacing w:after="120"/>
        <w:contextualSpacing w:val="0"/>
        <w:jc w:val="both"/>
        <w:rPr>
          <w:rFonts w:ascii="Arial" w:hAnsi="Arial" w:cs="Arial"/>
          <w:sz w:val="22"/>
          <w:szCs w:val="22"/>
        </w:rPr>
      </w:pPr>
      <w:r w:rsidRPr="00123AE9">
        <w:rPr>
          <w:rFonts w:ascii="Arial" w:hAnsi="Arial" w:cs="Arial"/>
          <w:sz w:val="22"/>
          <w:szCs w:val="22"/>
        </w:rPr>
        <w:t xml:space="preserve">UN new way of working’ emphasizes, a complementary approach to humanitarian-development-peace </w:t>
      </w:r>
      <w:r w:rsidRPr="00A019A4">
        <w:rPr>
          <w:rFonts w:ascii="Arial" w:hAnsi="Arial" w:cs="Arial"/>
          <w:sz w:val="22"/>
          <w:szCs w:val="22"/>
        </w:rPr>
        <w:t xml:space="preserve">(HDP) nexus - the Triple Nexus - recognizes the necessity of working and linking in all focus areas in a coordinated manner to be successful. This reflects indeed the multifaceted problems people in crisis and conflict face. </w:t>
      </w:r>
    </w:p>
    <w:p w14:paraId="39B527C1" w14:textId="28F1112A" w:rsidR="004071C0" w:rsidRPr="00A019A4" w:rsidRDefault="004071C0" w:rsidP="00586902">
      <w:pPr>
        <w:pStyle w:val="ListParagraph"/>
        <w:numPr>
          <w:ilvl w:val="0"/>
          <w:numId w:val="57"/>
        </w:numPr>
        <w:spacing w:after="120"/>
        <w:contextualSpacing w:val="0"/>
        <w:jc w:val="both"/>
        <w:rPr>
          <w:rFonts w:ascii="Arial" w:hAnsi="Arial" w:cs="Arial"/>
          <w:sz w:val="22"/>
          <w:szCs w:val="22"/>
        </w:rPr>
      </w:pPr>
      <w:r w:rsidRPr="00A019A4">
        <w:rPr>
          <w:rFonts w:ascii="Arial" w:eastAsia="Times New Roman" w:hAnsi="Arial" w:cs="Arial"/>
          <w:color w:val="0A0A0A"/>
          <w:spacing w:val="8"/>
          <w:sz w:val="22"/>
          <w:szCs w:val="22"/>
          <w:shd w:val="clear" w:color="auto" w:fill="FEFEFE"/>
          <w:lang w:val="en-GB"/>
        </w:rPr>
        <w:t>Interlinkages between the three elements of the nexus reinforce UNDP’s holistic, complementary, harmonized approach</w:t>
      </w:r>
    </w:p>
    <w:p w14:paraId="35D2EF12" w14:textId="0E555AC9" w:rsidR="004071C0" w:rsidRPr="00A019A4" w:rsidRDefault="004071C0" w:rsidP="00586902">
      <w:pPr>
        <w:pStyle w:val="ListParagraph"/>
        <w:numPr>
          <w:ilvl w:val="0"/>
          <w:numId w:val="57"/>
        </w:numPr>
        <w:spacing w:after="120"/>
        <w:contextualSpacing w:val="0"/>
        <w:jc w:val="both"/>
        <w:rPr>
          <w:rFonts w:ascii="Arial" w:hAnsi="Arial" w:cs="Arial"/>
          <w:sz w:val="22"/>
          <w:szCs w:val="22"/>
        </w:rPr>
      </w:pPr>
      <w:r w:rsidRPr="00A019A4">
        <w:rPr>
          <w:rFonts w:ascii="Arial" w:eastAsia="Times New Roman" w:hAnsi="Arial" w:cs="Arial"/>
          <w:color w:val="0A0A0A"/>
          <w:spacing w:val="8"/>
          <w:sz w:val="22"/>
          <w:szCs w:val="22"/>
          <w:shd w:val="clear" w:color="auto" w:fill="FEFEFE"/>
          <w:lang w:val="en-GB"/>
        </w:rPr>
        <w:t>Socio-</w:t>
      </w:r>
      <w:r w:rsidR="00A019A4">
        <w:rPr>
          <w:rFonts w:ascii="Arial" w:eastAsia="Times New Roman" w:hAnsi="Arial" w:cs="Arial"/>
          <w:color w:val="0A0A0A"/>
          <w:spacing w:val="8"/>
          <w:sz w:val="22"/>
          <w:szCs w:val="22"/>
          <w:shd w:val="clear" w:color="auto" w:fill="FEFEFE"/>
          <w:lang w:val="en-GB"/>
        </w:rPr>
        <w:t>e</w:t>
      </w:r>
      <w:r w:rsidRPr="00A019A4">
        <w:rPr>
          <w:rFonts w:ascii="Arial" w:eastAsia="Times New Roman" w:hAnsi="Arial" w:cs="Arial"/>
          <w:color w:val="0A0A0A"/>
          <w:spacing w:val="8"/>
          <w:sz w:val="22"/>
          <w:szCs w:val="22"/>
          <w:shd w:val="clear" w:color="auto" w:fill="FEFEFE"/>
          <w:lang w:val="en-GB"/>
        </w:rPr>
        <w:t>conomic development for PVE</w:t>
      </w:r>
      <w:r w:rsidR="00654D3D">
        <w:rPr>
          <w:rFonts w:ascii="Arial" w:eastAsia="Times New Roman" w:hAnsi="Arial" w:cs="Arial"/>
          <w:color w:val="0A0A0A"/>
          <w:spacing w:val="8"/>
          <w:sz w:val="22"/>
          <w:szCs w:val="22"/>
          <w:shd w:val="clear" w:color="auto" w:fill="FEFEFE"/>
          <w:lang w:val="en-GB"/>
        </w:rPr>
        <w:t>; through provision of livelihoods support, enable economic opportunities to be mode for community improvement, social interaction and engagement, and improved access to scarce resources.</w:t>
      </w:r>
    </w:p>
    <w:p w14:paraId="13DA1C43" w14:textId="753CBAB0" w:rsidR="0018597D" w:rsidRPr="00A019A4" w:rsidRDefault="0018597D" w:rsidP="00586902">
      <w:pPr>
        <w:spacing w:after="120"/>
        <w:rPr>
          <w:rFonts w:cs="Arial"/>
          <w:szCs w:val="22"/>
        </w:rPr>
      </w:pPr>
      <w:r w:rsidRPr="00A019A4">
        <w:rPr>
          <w:rFonts w:cs="Arial"/>
          <w:szCs w:val="22"/>
        </w:rPr>
        <w:t xml:space="preserve">In order for </w:t>
      </w:r>
      <w:r w:rsidR="006542C6" w:rsidRPr="00A019A4">
        <w:rPr>
          <w:rFonts w:cs="Arial"/>
          <w:szCs w:val="22"/>
        </w:rPr>
        <w:t xml:space="preserve">the </w:t>
      </w:r>
      <w:r w:rsidRPr="00A019A4">
        <w:rPr>
          <w:rFonts w:cs="Arial"/>
          <w:szCs w:val="22"/>
        </w:rPr>
        <w:t xml:space="preserve">fragile conflict-affected </w:t>
      </w:r>
      <w:r w:rsidR="006542C6" w:rsidRPr="00A019A4">
        <w:rPr>
          <w:rFonts w:cs="Arial"/>
          <w:szCs w:val="22"/>
        </w:rPr>
        <w:t>areas</w:t>
      </w:r>
      <w:r w:rsidRPr="00A019A4">
        <w:rPr>
          <w:rFonts w:cs="Arial"/>
          <w:szCs w:val="22"/>
        </w:rPr>
        <w:t xml:space="preserve"> to further recover and potentially achieve sustainable and scalable economic growth, the project will </w:t>
      </w:r>
      <w:r w:rsidR="00D26DDD" w:rsidRPr="00A019A4">
        <w:rPr>
          <w:rFonts w:cs="Arial"/>
          <w:szCs w:val="22"/>
        </w:rPr>
        <w:t xml:space="preserve">not only follow the general approaches supported under the RPP but will also </w:t>
      </w:r>
      <w:r w:rsidRPr="00A019A4">
        <w:rPr>
          <w:rFonts w:cs="Arial"/>
          <w:szCs w:val="22"/>
        </w:rPr>
        <w:t>address major obstacles to business start-up and scale-up holistically</w:t>
      </w:r>
      <w:r w:rsidR="00ED6472" w:rsidRPr="00A019A4">
        <w:rPr>
          <w:rFonts w:cs="Arial"/>
          <w:szCs w:val="22"/>
        </w:rPr>
        <w:t xml:space="preserve">. </w:t>
      </w:r>
    </w:p>
    <w:p w14:paraId="25F02D68" w14:textId="2B381562" w:rsidR="00803422" w:rsidRPr="00A019A4" w:rsidRDefault="00803422" w:rsidP="00586902">
      <w:pPr>
        <w:spacing w:after="120"/>
        <w:rPr>
          <w:rFonts w:eastAsia="Yu Gothic Light" w:cs="Arial"/>
          <w:szCs w:val="22"/>
        </w:rPr>
      </w:pPr>
      <w:r w:rsidRPr="00A019A4">
        <w:rPr>
          <w:rFonts w:eastAsia="Yu Gothic Light" w:cs="Arial"/>
          <w:i/>
          <w:szCs w:val="22"/>
        </w:rPr>
        <w:t>Area-Based Approach:</w:t>
      </w:r>
      <w:r w:rsidRPr="00A019A4">
        <w:rPr>
          <w:rFonts w:eastAsia="Yu Gothic Light" w:cs="Arial"/>
          <w:b/>
          <w:szCs w:val="22"/>
        </w:rPr>
        <w:t xml:space="preserve"> </w:t>
      </w:r>
      <w:r w:rsidR="00EB0F26">
        <w:rPr>
          <w:rFonts w:eastAsia="Yu Gothic Light" w:cs="Arial"/>
          <w:szCs w:val="22"/>
        </w:rPr>
        <w:t>T</w:t>
      </w:r>
      <w:r w:rsidRPr="00A019A4">
        <w:rPr>
          <w:rFonts w:eastAsia="Yu Gothic Light" w:cs="Arial"/>
          <w:szCs w:val="22"/>
        </w:rPr>
        <w:t xml:space="preserve">he </w:t>
      </w:r>
      <w:r w:rsidR="004A1088" w:rsidRPr="00A019A4">
        <w:rPr>
          <w:rFonts w:eastAsia="Yu Gothic Light" w:cs="Arial"/>
          <w:szCs w:val="22"/>
        </w:rPr>
        <w:t>Project uses</w:t>
      </w:r>
      <w:r w:rsidRPr="00A019A4">
        <w:rPr>
          <w:rFonts w:eastAsia="Yu Gothic Light" w:cs="Arial"/>
          <w:szCs w:val="22"/>
        </w:rPr>
        <w:t xml:space="preserve"> an area-based methodology to carry out its interventions. This methodology targets a specific territory in </w:t>
      </w:r>
      <w:r w:rsidR="00A019A4" w:rsidRPr="00A019A4">
        <w:rPr>
          <w:rFonts w:eastAsia="Yu Gothic Light" w:cs="Arial"/>
          <w:szCs w:val="22"/>
        </w:rPr>
        <w:t>Libya</w:t>
      </w:r>
      <w:r w:rsidR="00654D3D">
        <w:rPr>
          <w:rFonts w:eastAsia="Yu Gothic Light" w:cs="Arial"/>
          <w:szCs w:val="22"/>
        </w:rPr>
        <w:t xml:space="preserve"> where UNDP SFL and SCLRR have already worked to stabilize and sensitize communities to its</w:t>
      </w:r>
      <w:r w:rsidR="00EB0F26">
        <w:rPr>
          <w:rFonts w:eastAsia="Yu Gothic Light" w:cs="Arial"/>
          <w:szCs w:val="22"/>
        </w:rPr>
        <w:t xml:space="preserve"> approach.</w:t>
      </w:r>
    </w:p>
    <w:p w14:paraId="29B2931F" w14:textId="70C6DD83" w:rsidR="00803422" w:rsidRPr="00A019A4" w:rsidRDefault="00803422" w:rsidP="00586902">
      <w:pPr>
        <w:spacing w:after="120"/>
        <w:rPr>
          <w:rFonts w:eastAsia="Calibri" w:cs="Arial"/>
          <w:szCs w:val="22"/>
        </w:rPr>
      </w:pPr>
      <w:r w:rsidRPr="00A019A4">
        <w:rPr>
          <w:rFonts w:eastAsia="Yu Gothic Light" w:cs="Arial"/>
          <w:bCs/>
          <w:i/>
          <w:color w:val="000000"/>
          <w:szCs w:val="22"/>
        </w:rPr>
        <w:t xml:space="preserve">Gender Mainstreaming: </w:t>
      </w:r>
      <w:r w:rsidR="00EB0F26">
        <w:rPr>
          <w:rFonts w:eastAsia="Calibri" w:cs="Arial"/>
          <w:szCs w:val="22"/>
        </w:rPr>
        <w:t>G</w:t>
      </w:r>
      <w:r w:rsidRPr="00A019A4">
        <w:rPr>
          <w:rFonts w:eastAsia="Calibri" w:cs="Arial"/>
          <w:szCs w:val="22"/>
        </w:rPr>
        <w:t>ender analyses</w:t>
      </w:r>
      <w:r w:rsidR="00573E4E" w:rsidRPr="00A019A4">
        <w:rPr>
          <w:rFonts w:eastAsia="Calibri" w:cs="Arial"/>
          <w:szCs w:val="22"/>
        </w:rPr>
        <w:t xml:space="preserve"> are ensured</w:t>
      </w:r>
      <w:r w:rsidRPr="00A019A4">
        <w:rPr>
          <w:rFonts w:eastAsia="Calibri" w:cs="Arial"/>
          <w:szCs w:val="22"/>
        </w:rPr>
        <w:t xml:space="preserve"> in the design and implementation phases </w:t>
      </w:r>
      <w:r w:rsidR="00573E4E" w:rsidRPr="00A019A4">
        <w:rPr>
          <w:rFonts w:eastAsia="Calibri" w:cs="Arial"/>
          <w:szCs w:val="22"/>
        </w:rPr>
        <w:t>of the Project</w:t>
      </w:r>
      <w:r w:rsidRPr="00A019A4">
        <w:rPr>
          <w:rFonts w:eastAsia="Calibri" w:cs="Arial"/>
          <w:szCs w:val="22"/>
        </w:rPr>
        <w:t xml:space="preserve">, with gender </w:t>
      </w:r>
      <w:r w:rsidR="00A019A4" w:rsidRPr="00A019A4">
        <w:rPr>
          <w:rFonts w:eastAsia="Calibri" w:cs="Arial"/>
          <w:szCs w:val="22"/>
        </w:rPr>
        <w:t>inclusive</w:t>
      </w:r>
      <w:r w:rsidRPr="00A019A4">
        <w:rPr>
          <w:rFonts w:eastAsia="Calibri" w:cs="Arial"/>
          <w:szCs w:val="22"/>
        </w:rPr>
        <w:t xml:space="preserve"> concerns consistently reflected in project implementation. Gender mainstreaming is not only reflected in the design of projects’ activities but also in ensuring disaggregated reporting, monitoring and evaluation of impacts and results</w:t>
      </w:r>
      <w:r w:rsidR="00573E4E" w:rsidRPr="00A019A4">
        <w:rPr>
          <w:rFonts w:eastAsia="Calibri" w:cs="Arial"/>
          <w:szCs w:val="22"/>
        </w:rPr>
        <w:t>.</w:t>
      </w:r>
      <w:r w:rsidRPr="00A019A4">
        <w:rPr>
          <w:rFonts w:eastAsia="Calibri" w:cs="Arial"/>
          <w:szCs w:val="22"/>
        </w:rPr>
        <w:t xml:space="preserve"> </w:t>
      </w:r>
      <w:r w:rsidR="0079373F" w:rsidRPr="00A019A4">
        <w:rPr>
          <w:rFonts w:eastAsia="Calibri" w:cs="Arial"/>
          <w:szCs w:val="22"/>
        </w:rPr>
        <w:t>Similarly, activities are geared towards women’s inclusion and participation at all stages of the project</w:t>
      </w:r>
      <w:r w:rsidR="00EB0F26">
        <w:rPr>
          <w:rFonts w:eastAsia="Calibri" w:cs="Arial"/>
          <w:szCs w:val="22"/>
        </w:rPr>
        <w:t xml:space="preserve"> – this is especially the case in the cash-for-work modality, whereby women will be selected directly to participate and earn an income through UNDP interventions.</w:t>
      </w:r>
    </w:p>
    <w:p w14:paraId="636EF648" w14:textId="68CEBDDE" w:rsidR="00A019A4" w:rsidRPr="00A019A4" w:rsidRDefault="00A019A4" w:rsidP="00586902">
      <w:pPr>
        <w:spacing w:after="120"/>
        <w:rPr>
          <w:rFonts w:cs="Arial"/>
          <w:iCs/>
          <w:color w:val="000000" w:themeColor="text1"/>
          <w:szCs w:val="22"/>
        </w:rPr>
      </w:pPr>
      <w:r w:rsidRPr="00A019A4">
        <w:rPr>
          <w:rFonts w:cs="Arial"/>
          <w:iCs/>
          <w:color w:val="000000" w:themeColor="text1"/>
          <w:szCs w:val="22"/>
        </w:rPr>
        <w:t xml:space="preserve">The project START in Libya approach is based on mobilizing both women and youth in particular and participants from different ethnic groups within a municipality to participate in the implementation of the initiatives. </w:t>
      </w:r>
    </w:p>
    <w:p w14:paraId="0241858E" w14:textId="26F4E5B6" w:rsidR="00A019A4" w:rsidRPr="00A019A4" w:rsidRDefault="00A019A4" w:rsidP="00586902">
      <w:pPr>
        <w:pStyle w:val="ListParagraph"/>
        <w:spacing w:after="120"/>
        <w:ind w:left="0"/>
        <w:contextualSpacing w:val="0"/>
        <w:jc w:val="both"/>
        <w:rPr>
          <w:rFonts w:ascii="Arial" w:eastAsia="MS Gothic" w:hAnsi="Arial" w:cs="Arial"/>
          <w:sz w:val="22"/>
          <w:szCs w:val="22"/>
          <w:lang w:val="en-GB"/>
        </w:rPr>
      </w:pPr>
      <w:r w:rsidRPr="00A019A4">
        <w:rPr>
          <w:rFonts w:ascii="Arial" w:hAnsi="Arial" w:cs="Arial"/>
          <w:sz w:val="22"/>
          <w:szCs w:val="22"/>
          <w:lang w:val="en-GB"/>
        </w:rPr>
        <w:t xml:space="preserve">Women and girls were the most vulnerable categories of people, in conflict, and are in Libya. Therefore, special measures to empower women and girls to reduce their victimization and ensure gender equality, will be adopted by the Project START, recognizing also that women in </w:t>
      </w:r>
      <w:r w:rsidR="007925B6">
        <w:rPr>
          <w:rFonts w:ascii="Arial" w:hAnsi="Arial" w:cs="Arial"/>
          <w:sz w:val="22"/>
          <w:szCs w:val="22"/>
          <w:lang w:val="en-GB"/>
        </w:rPr>
        <w:t>Libya</w:t>
      </w:r>
      <w:r w:rsidRPr="00A019A4">
        <w:rPr>
          <w:rFonts w:ascii="Arial" w:hAnsi="Arial" w:cs="Arial"/>
          <w:sz w:val="22"/>
          <w:szCs w:val="22"/>
          <w:lang w:val="en-GB"/>
        </w:rPr>
        <w:t xml:space="preserve"> are not just victims, but have an active role as bread winners, volunteers, recovery and reconstruction workers, and advocates for peace activists etc. UNDP will therefore incorporate standalone women’s empowerment actions where relevant and context conducive, to transform negative social norms and stereotypes about women and to change the traditional gender division of labour.</w:t>
      </w:r>
      <w:r w:rsidRPr="00A019A4">
        <w:rPr>
          <w:rFonts w:ascii="Arial" w:eastAsia="MS Gothic" w:hAnsi="Arial" w:cs="Arial"/>
          <w:sz w:val="22"/>
          <w:szCs w:val="22"/>
          <w:lang w:val="en-GB"/>
        </w:rPr>
        <w:t xml:space="preserve"> The project will develop and implement activities that are tailored to meet the needs specific to women to ensure access to livelihoods. An indirect impact of the increased access to livelihoods is the ability of women to access basic public services that positively impact women. The Project support will include small business grants/asset grants for female headed households or business creation support women. Women will also be included in cash-for-work schemes where possible. </w:t>
      </w:r>
    </w:p>
    <w:p w14:paraId="6176F18C" w14:textId="5E56E442" w:rsidR="00A019A4" w:rsidRPr="00A019A4" w:rsidRDefault="00A019A4" w:rsidP="0097412F">
      <w:pPr>
        <w:pStyle w:val="ListParagraph"/>
        <w:spacing w:afterLines="120" w:after="288"/>
        <w:ind w:left="0"/>
        <w:contextualSpacing w:val="0"/>
        <w:jc w:val="both"/>
        <w:rPr>
          <w:rFonts w:ascii="Arial" w:eastAsia="MS Gothic" w:hAnsi="Arial" w:cs="Arial"/>
          <w:sz w:val="22"/>
          <w:szCs w:val="22"/>
          <w:lang w:val="en-GB"/>
        </w:rPr>
      </w:pPr>
      <w:r w:rsidRPr="00A019A4">
        <w:rPr>
          <w:rFonts w:ascii="Arial" w:eastAsia="MS Gothic" w:hAnsi="Arial" w:cs="Arial"/>
          <w:sz w:val="22"/>
          <w:szCs w:val="22"/>
          <w:lang w:val="en-GB"/>
        </w:rPr>
        <w:t>UNDP uses gender disaggregated data for performance indicators to monitor and measure impacts on women and girls generated by the interventions. Special consideration on gender mainstreaming and targeting vulnerable women with dedicated measures is set as one of the principles of UNDP as well as “Do No Harm” guidelines.</w:t>
      </w:r>
    </w:p>
    <w:p w14:paraId="42C2D757" w14:textId="104FFA0E" w:rsidR="00554D50" w:rsidRPr="00A019A4" w:rsidRDefault="00A019A4" w:rsidP="0097412F">
      <w:pPr>
        <w:spacing w:afterLines="120" w:after="288"/>
        <w:rPr>
          <w:rFonts w:cs="Arial"/>
          <w:iCs/>
          <w:color w:val="000000" w:themeColor="text1"/>
          <w:szCs w:val="22"/>
        </w:rPr>
      </w:pPr>
      <w:r w:rsidRPr="00A019A4">
        <w:rPr>
          <w:rFonts w:cs="Arial"/>
          <w:iCs/>
          <w:color w:val="000000" w:themeColor="text1"/>
          <w:szCs w:val="22"/>
        </w:rPr>
        <w:t xml:space="preserve">The objective is to encourage participation of women and youth in the activities, aiming to achieve at least 30% women participation. </w:t>
      </w:r>
    </w:p>
    <w:p w14:paraId="47CBFE98" w14:textId="77777777" w:rsidR="00EE77EA" w:rsidRPr="00EE77EA" w:rsidRDefault="00D55D40" w:rsidP="00EE77EA">
      <w:pPr>
        <w:pStyle w:val="Heading1"/>
        <w:pBdr>
          <w:top w:val="single" w:sz="4" w:space="0" w:color="auto"/>
        </w:pBdr>
      </w:pPr>
      <w:r>
        <w:t>Results and</w:t>
      </w:r>
      <w:r w:rsidR="00601694">
        <w:t xml:space="preserve"> Partnerships</w:t>
      </w:r>
    </w:p>
    <w:p w14:paraId="77F2ECD3" w14:textId="77777777" w:rsidR="00106518" w:rsidRDefault="00601694" w:rsidP="004071C0">
      <w:pPr>
        <w:spacing w:afterLines="120" w:after="288"/>
        <w:rPr>
          <w:b/>
          <w:i/>
        </w:rPr>
      </w:pPr>
      <w:r>
        <w:rPr>
          <w:b/>
          <w:i/>
        </w:rPr>
        <w:t>Expected Results</w:t>
      </w:r>
    </w:p>
    <w:p w14:paraId="3D74522A" w14:textId="7B2A78A7" w:rsidR="005329BC" w:rsidRPr="00A01537" w:rsidRDefault="005329BC" w:rsidP="0097412F">
      <w:pPr>
        <w:spacing w:afterLines="120" w:after="288"/>
        <w:rPr>
          <w:rFonts w:cs="Arial"/>
          <w:szCs w:val="22"/>
        </w:rPr>
      </w:pPr>
      <w:r w:rsidRPr="00A01537">
        <w:rPr>
          <w:rFonts w:cs="Arial"/>
          <w:szCs w:val="22"/>
        </w:rPr>
        <w:t>The project objective</w:t>
      </w:r>
      <w:r w:rsidR="000C0EDE" w:rsidRPr="00A01537">
        <w:rPr>
          <w:rFonts w:cs="Arial"/>
          <w:szCs w:val="22"/>
        </w:rPr>
        <w:t xml:space="preserve">s are to transition stabilized communities to early recovery through targeting a reduction in poverty, enhancing national prevention and recovery capacities for resilient communities, </w:t>
      </w:r>
      <w:r w:rsidR="00A01537" w:rsidRPr="00A01537">
        <w:rPr>
          <w:rFonts w:cs="Arial"/>
          <w:szCs w:val="22"/>
        </w:rPr>
        <w:t>and strengthening gender equality and empowerment of women and youth.</w:t>
      </w:r>
      <w:r w:rsidR="00586902">
        <w:rPr>
          <w:rFonts w:cs="Arial"/>
          <w:szCs w:val="22"/>
        </w:rPr>
        <w:t xml:space="preserve"> The project will strengthen local resilience and stabilization efforts</w:t>
      </w:r>
      <w:r w:rsidR="007925B6">
        <w:rPr>
          <w:rFonts w:cs="Arial"/>
          <w:szCs w:val="22"/>
        </w:rPr>
        <w:t>.</w:t>
      </w:r>
      <w:r w:rsidR="00586902">
        <w:rPr>
          <w:rFonts w:cs="Arial"/>
          <w:szCs w:val="22"/>
        </w:rPr>
        <w:t xml:space="preserve"> </w:t>
      </w:r>
    </w:p>
    <w:p w14:paraId="0B41A693" w14:textId="5CD566C5" w:rsidR="005329BC" w:rsidRPr="00A01537" w:rsidRDefault="008052D4" w:rsidP="0097412F">
      <w:pPr>
        <w:spacing w:afterLines="120" w:after="288"/>
        <w:rPr>
          <w:rFonts w:cs="Arial"/>
          <w:szCs w:val="22"/>
        </w:rPr>
      </w:pPr>
      <w:r w:rsidRPr="00A01537">
        <w:rPr>
          <w:rFonts w:cs="Arial"/>
          <w:szCs w:val="22"/>
        </w:rPr>
        <w:t xml:space="preserve">The proposed objective will be achieved through the </w:t>
      </w:r>
      <w:r w:rsidR="00EC324D">
        <w:rPr>
          <w:rFonts w:cs="Arial"/>
          <w:szCs w:val="22"/>
        </w:rPr>
        <w:t>three</w:t>
      </w:r>
      <w:r w:rsidRPr="00A01537">
        <w:rPr>
          <w:rFonts w:cs="Arial"/>
          <w:szCs w:val="22"/>
        </w:rPr>
        <w:t xml:space="preserve"> inter-related </w:t>
      </w:r>
      <w:r w:rsidR="000C0EDE" w:rsidRPr="00A01537">
        <w:rPr>
          <w:rFonts w:cs="Arial"/>
          <w:szCs w:val="22"/>
        </w:rPr>
        <w:t>outputs</w:t>
      </w:r>
      <w:r w:rsidRPr="00A01537">
        <w:rPr>
          <w:rFonts w:cs="Arial"/>
          <w:szCs w:val="22"/>
        </w:rPr>
        <w:t xml:space="preserve"> and actions below</w:t>
      </w:r>
      <w:r w:rsidR="00586902">
        <w:rPr>
          <w:rFonts w:cs="Arial"/>
          <w:szCs w:val="22"/>
        </w:rPr>
        <w:t xml:space="preserve"> and delivered through a combination of direct implementation by UNDP Libya and in partnership with CSOs and business institutions in targeted municipalities.</w:t>
      </w:r>
    </w:p>
    <w:p w14:paraId="331B175E" w14:textId="37C37127" w:rsidR="00A01537" w:rsidRPr="0097412F" w:rsidRDefault="00A01537" w:rsidP="0097412F">
      <w:pPr>
        <w:spacing w:afterLines="120" w:after="288"/>
        <w:rPr>
          <w:rFonts w:cs="Arial"/>
          <w:b/>
          <w:bCs/>
          <w:szCs w:val="22"/>
        </w:rPr>
      </w:pPr>
      <w:r w:rsidRPr="0097412F">
        <w:rPr>
          <w:rFonts w:cs="Arial"/>
          <w:b/>
          <w:bCs/>
          <w:szCs w:val="22"/>
        </w:rPr>
        <w:t xml:space="preserve">Output 1:  Target populations benefit from livelihood opportunities in income generation.   </w:t>
      </w:r>
    </w:p>
    <w:p w14:paraId="1298DD6B" w14:textId="2A560896" w:rsidR="00A01537" w:rsidRPr="00010736" w:rsidRDefault="00A01537" w:rsidP="0097412F">
      <w:pPr>
        <w:snapToGrid w:val="0"/>
        <w:spacing w:afterLines="120" w:after="288"/>
        <w:ind w:left="1170" w:hanging="1170"/>
        <w:rPr>
          <w:rFonts w:cs="Arial"/>
          <w:i/>
          <w:iCs/>
          <w:szCs w:val="22"/>
        </w:rPr>
      </w:pPr>
      <w:r w:rsidRPr="00010736">
        <w:rPr>
          <w:rFonts w:cs="Arial"/>
          <w:i/>
          <w:iCs/>
          <w:szCs w:val="22"/>
        </w:rPr>
        <w:t xml:space="preserve">Activity 1.1. </w:t>
      </w:r>
      <w:r w:rsidR="00010736" w:rsidRPr="00010736">
        <w:rPr>
          <w:rFonts w:eastAsia="MS Gothic" w:cs="Arial"/>
          <w:color w:val="000000"/>
          <w:kern w:val="2"/>
          <w:szCs w:val="22"/>
        </w:rPr>
        <w:t xml:space="preserve">Conduct rapid assessments of the livelihood needs and labour skills for </w:t>
      </w:r>
      <w:r w:rsidR="003F6C9C">
        <w:rPr>
          <w:rFonts w:eastAsia="MS Gothic" w:cs="Arial"/>
          <w:color w:val="000000"/>
          <w:kern w:val="2"/>
          <w:szCs w:val="22"/>
        </w:rPr>
        <w:t xml:space="preserve">vulnerable </w:t>
      </w:r>
      <w:r w:rsidR="00A83254">
        <w:rPr>
          <w:rFonts w:eastAsia="MS Gothic" w:cs="Arial"/>
          <w:color w:val="000000"/>
          <w:kern w:val="2"/>
          <w:szCs w:val="22"/>
        </w:rPr>
        <w:t>local</w:t>
      </w:r>
      <w:r w:rsidR="003F6C9C">
        <w:rPr>
          <w:rFonts w:eastAsia="MS Gothic" w:cs="Arial"/>
          <w:color w:val="000000"/>
          <w:kern w:val="2"/>
          <w:szCs w:val="22"/>
        </w:rPr>
        <w:t xml:space="preserve"> </w:t>
      </w:r>
      <w:r w:rsidR="00010736" w:rsidRPr="00010736">
        <w:rPr>
          <w:rFonts w:eastAsia="MS Gothic" w:cs="Arial"/>
          <w:color w:val="000000"/>
          <w:kern w:val="2"/>
          <w:szCs w:val="22"/>
        </w:rPr>
        <w:t xml:space="preserve"> community, </w:t>
      </w:r>
      <w:r w:rsidR="00950899">
        <w:rPr>
          <w:rFonts w:eastAsia="MS Gothic" w:cs="Arial"/>
          <w:color w:val="000000"/>
          <w:kern w:val="2"/>
          <w:szCs w:val="22"/>
        </w:rPr>
        <w:t xml:space="preserve">IDPs and </w:t>
      </w:r>
      <w:r w:rsidR="00010736" w:rsidRPr="00010736">
        <w:rPr>
          <w:rFonts w:eastAsia="MS Gothic" w:cs="Arial"/>
          <w:color w:val="000000"/>
          <w:kern w:val="2"/>
          <w:szCs w:val="22"/>
        </w:rPr>
        <w:t>migrants</w:t>
      </w:r>
    </w:p>
    <w:p w14:paraId="27CAF27B" w14:textId="41AE7F55" w:rsidR="00A01537" w:rsidRPr="0092313E" w:rsidRDefault="00A01537" w:rsidP="0097412F">
      <w:pPr>
        <w:spacing w:afterLines="120" w:after="288"/>
        <w:ind w:left="1170" w:hanging="1170"/>
        <w:rPr>
          <w:rFonts w:eastAsia="MS Gothic" w:cs="Arial"/>
          <w:i/>
          <w:iCs/>
          <w:color w:val="000000"/>
          <w:kern w:val="2"/>
          <w:szCs w:val="22"/>
        </w:rPr>
      </w:pPr>
      <w:r w:rsidRPr="00010736">
        <w:rPr>
          <w:rFonts w:eastAsia="MS Gothic" w:cs="Arial"/>
          <w:i/>
          <w:iCs/>
          <w:color w:val="000000"/>
          <w:kern w:val="2"/>
          <w:szCs w:val="22"/>
        </w:rPr>
        <w:t xml:space="preserve">Activity 1.2.  </w:t>
      </w:r>
      <w:r w:rsidR="0092313E" w:rsidRPr="00010736">
        <w:rPr>
          <w:rFonts w:eastAsia="MS Gothic" w:cs="Arial"/>
          <w:color w:val="000000"/>
          <w:kern w:val="2"/>
          <w:szCs w:val="22"/>
        </w:rPr>
        <w:t xml:space="preserve">Create livelihood asset replacement opportunities particularly among youth and women </w:t>
      </w:r>
      <w:r w:rsidR="0092313E" w:rsidRPr="00010736">
        <w:rPr>
          <w:rFonts w:cs="Arial"/>
          <w:szCs w:val="22"/>
        </w:rPr>
        <w:t xml:space="preserve">(in the form of small business grants, </w:t>
      </w:r>
      <w:r w:rsidR="009A3A46">
        <w:rPr>
          <w:rFonts w:cs="Arial"/>
          <w:szCs w:val="22"/>
        </w:rPr>
        <w:t xml:space="preserve">business management training sessions, </w:t>
      </w:r>
      <w:r w:rsidR="0092313E" w:rsidRPr="00010736">
        <w:rPr>
          <w:rFonts w:cs="Arial"/>
          <w:szCs w:val="22"/>
        </w:rPr>
        <w:t>asset tool kits or savings schemes)</w:t>
      </w:r>
      <w:r w:rsidR="00A83254">
        <w:rPr>
          <w:rFonts w:cs="Arial"/>
          <w:szCs w:val="22"/>
        </w:rPr>
        <w:t>, if one needed.</w:t>
      </w:r>
      <w:r w:rsidR="0092313E" w:rsidRPr="00010736">
        <w:rPr>
          <w:rFonts w:cs="Arial"/>
          <w:szCs w:val="22"/>
        </w:rPr>
        <w:t xml:space="preserve"> </w:t>
      </w:r>
    </w:p>
    <w:p w14:paraId="53AADF30" w14:textId="52AD286D" w:rsidR="00A01537" w:rsidRPr="0092313E" w:rsidRDefault="00A01537" w:rsidP="0097412F">
      <w:pPr>
        <w:spacing w:afterLines="120" w:after="288"/>
        <w:ind w:left="1170" w:hanging="1170"/>
        <w:rPr>
          <w:rFonts w:cs="Arial"/>
          <w:i/>
          <w:iCs/>
          <w:szCs w:val="22"/>
        </w:rPr>
      </w:pPr>
      <w:r w:rsidRPr="0092313E">
        <w:rPr>
          <w:rFonts w:cs="Arial"/>
          <w:i/>
          <w:iCs/>
          <w:szCs w:val="22"/>
        </w:rPr>
        <w:t xml:space="preserve">Activity 1.3 </w:t>
      </w:r>
      <w:r w:rsidR="0092313E" w:rsidRPr="0092313E">
        <w:rPr>
          <w:rFonts w:cs="Arial"/>
          <w:szCs w:val="22"/>
        </w:rPr>
        <w:t xml:space="preserve">Direct job placement </w:t>
      </w:r>
      <w:r w:rsidR="0092313E" w:rsidRPr="00961ADC">
        <w:rPr>
          <w:rFonts w:cs="Arial"/>
          <w:szCs w:val="22"/>
        </w:rPr>
        <w:t>through creating a Platform of skilled workers to match with private sector employers. Networking and creating a database of companies looking</w:t>
      </w:r>
      <w:r w:rsidR="0092313E" w:rsidRPr="0092313E">
        <w:rPr>
          <w:rFonts w:cs="Arial"/>
          <w:szCs w:val="22"/>
        </w:rPr>
        <w:t xml:space="preserve"> for skilled workers as well as youth CVs looking for job opportunities</w:t>
      </w:r>
    </w:p>
    <w:p w14:paraId="5884B5D8" w14:textId="64C7AD2C" w:rsidR="00EC324D" w:rsidRPr="0092313E" w:rsidRDefault="00AB7A5D" w:rsidP="00AB7A5D">
      <w:pPr>
        <w:spacing w:afterLines="120" w:after="288"/>
        <w:rPr>
          <w:rFonts w:cs="Arial"/>
          <w:szCs w:val="22"/>
        </w:rPr>
      </w:pPr>
      <w:r>
        <w:rPr>
          <w:rFonts w:cs="Arial"/>
          <w:szCs w:val="22"/>
        </w:rPr>
        <w:t xml:space="preserve">UNDP has had demonstrable success in encouraging business activity through provision of asset grants in post-conflict contexts. In a post-conflict environment, individuals – especially women and vulnerable populations – lack access to financing or microlending services in order to launch activities that can support them and their families, improve access to basic services and improve communal recovery. Through an evidence-based approach, UNDP with a local partner will provide these grants as well as work opportunities. In addition, in Tripoli </w:t>
      </w:r>
      <w:r w:rsidR="00F47BD1">
        <w:rPr>
          <w:rFonts w:cs="Arial"/>
          <w:szCs w:val="22"/>
        </w:rPr>
        <w:t xml:space="preserve">UNDP will select a qualified partner that can support more advanced support to youth and women job seekers through creating an employment seeker platform. Job seekers will receive CV development support, and CVs will be gathered and added to a platform that will form a network between </w:t>
      </w:r>
      <w:r w:rsidR="00A7613B">
        <w:rPr>
          <w:rFonts w:cs="Arial"/>
          <w:szCs w:val="22"/>
        </w:rPr>
        <w:t>employers and job seekers.</w:t>
      </w:r>
    </w:p>
    <w:p w14:paraId="25D6696E" w14:textId="17A2CC4D" w:rsidR="00A01537" w:rsidRPr="0097412F" w:rsidRDefault="00A01537" w:rsidP="0097412F">
      <w:pPr>
        <w:spacing w:afterLines="120" w:after="288"/>
        <w:rPr>
          <w:rFonts w:cs="Arial"/>
          <w:b/>
          <w:bCs/>
          <w:szCs w:val="22"/>
        </w:rPr>
      </w:pPr>
      <w:r w:rsidRPr="0097412F">
        <w:rPr>
          <w:rFonts w:cs="Arial"/>
          <w:b/>
          <w:bCs/>
          <w:szCs w:val="22"/>
        </w:rPr>
        <w:t xml:space="preserve">Output </w:t>
      </w:r>
      <w:r w:rsidR="00E57738" w:rsidRPr="0097412F">
        <w:rPr>
          <w:rFonts w:cs="Arial"/>
          <w:b/>
          <w:bCs/>
          <w:szCs w:val="22"/>
        </w:rPr>
        <w:t>2</w:t>
      </w:r>
      <w:r w:rsidRPr="0097412F">
        <w:rPr>
          <w:rFonts w:cs="Arial"/>
          <w:b/>
          <w:bCs/>
          <w:szCs w:val="22"/>
        </w:rPr>
        <w:t>: Local institutions benefit from capacity and skills building in order to deliver effectively on local economic development</w:t>
      </w:r>
    </w:p>
    <w:p w14:paraId="4441A7FD" w14:textId="359E4C8C" w:rsidR="00A01537" w:rsidRDefault="00A01537" w:rsidP="0097412F">
      <w:pPr>
        <w:spacing w:afterLines="120" w:after="288"/>
        <w:ind w:left="1170" w:hanging="1170"/>
        <w:rPr>
          <w:rFonts w:cs="Arial"/>
          <w:bCs/>
          <w:i/>
          <w:iCs/>
          <w:szCs w:val="22"/>
        </w:rPr>
      </w:pPr>
      <w:r w:rsidRPr="0097412F">
        <w:rPr>
          <w:rFonts w:cs="Arial"/>
          <w:bCs/>
          <w:i/>
          <w:iCs/>
          <w:szCs w:val="22"/>
        </w:rPr>
        <w:t xml:space="preserve">Activity </w:t>
      </w:r>
      <w:r w:rsidR="00E57738" w:rsidRPr="0097412F">
        <w:rPr>
          <w:rFonts w:cs="Arial"/>
          <w:bCs/>
          <w:i/>
          <w:iCs/>
          <w:szCs w:val="22"/>
        </w:rPr>
        <w:t>2</w:t>
      </w:r>
      <w:r w:rsidRPr="0097412F">
        <w:rPr>
          <w:rFonts w:cs="Arial"/>
          <w:bCs/>
          <w:i/>
          <w:iCs/>
          <w:szCs w:val="22"/>
        </w:rPr>
        <w:t>.1: Strengthen the capacity of national institutions related to employment/income generating activities (knowhow and expertise transfer/exchange in terms of crisis management related to income generation activities in order to ensure the sustainability, capacity building and national ownership of activities as well as engagement of private sector</w:t>
      </w:r>
      <w:r w:rsidR="00A83254">
        <w:rPr>
          <w:rFonts w:cs="Arial"/>
          <w:bCs/>
          <w:i/>
          <w:iCs/>
          <w:szCs w:val="22"/>
        </w:rPr>
        <w:t>, in line with the Ministry of Labour, Ministry of Economic and Ministry of Finance</w:t>
      </w:r>
      <w:r w:rsidRPr="0097412F">
        <w:rPr>
          <w:rFonts w:cs="Arial"/>
          <w:bCs/>
          <w:i/>
          <w:iCs/>
          <w:szCs w:val="22"/>
        </w:rPr>
        <w:t>)</w:t>
      </w:r>
      <w:r w:rsidR="00A83254">
        <w:rPr>
          <w:rFonts w:cs="Arial"/>
          <w:bCs/>
          <w:i/>
          <w:iCs/>
          <w:szCs w:val="22"/>
        </w:rPr>
        <w:t>.</w:t>
      </w:r>
    </w:p>
    <w:p w14:paraId="4972DE72" w14:textId="7453FD5F" w:rsidR="0092313E" w:rsidRPr="0097412F" w:rsidRDefault="0092313E" w:rsidP="0097412F">
      <w:pPr>
        <w:spacing w:afterLines="120" w:after="288"/>
        <w:ind w:left="1170" w:hanging="1170"/>
        <w:rPr>
          <w:rFonts w:cs="Arial"/>
          <w:bCs/>
          <w:i/>
          <w:iCs/>
          <w:szCs w:val="22"/>
        </w:rPr>
      </w:pPr>
      <w:r>
        <w:rPr>
          <w:rFonts w:cs="Arial"/>
          <w:bCs/>
          <w:i/>
          <w:iCs/>
          <w:szCs w:val="22"/>
        </w:rPr>
        <w:t xml:space="preserve">Activity 2.2: Establish a platform to </w:t>
      </w:r>
      <w:r w:rsidR="00893951">
        <w:rPr>
          <w:rFonts w:cs="Arial"/>
          <w:bCs/>
          <w:i/>
          <w:iCs/>
          <w:szCs w:val="22"/>
        </w:rPr>
        <w:t xml:space="preserve">leverage private sector involvement </w:t>
      </w:r>
      <w:r w:rsidR="00B04403">
        <w:rPr>
          <w:rFonts w:cs="Arial"/>
          <w:bCs/>
          <w:i/>
          <w:iCs/>
          <w:szCs w:val="22"/>
        </w:rPr>
        <w:t>in</w:t>
      </w:r>
      <w:r w:rsidR="005D5100">
        <w:rPr>
          <w:rFonts w:cs="Arial"/>
          <w:bCs/>
          <w:i/>
          <w:iCs/>
          <w:szCs w:val="22"/>
        </w:rPr>
        <w:t xml:space="preserve"> the </w:t>
      </w:r>
      <w:r w:rsidR="00164EA6">
        <w:rPr>
          <w:rFonts w:cs="Arial"/>
          <w:bCs/>
          <w:i/>
          <w:iCs/>
          <w:szCs w:val="22"/>
        </w:rPr>
        <w:t xml:space="preserve">local </w:t>
      </w:r>
      <w:r w:rsidR="005D5100">
        <w:rPr>
          <w:rFonts w:cs="Arial"/>
          <w:bCs/>
          <w:i/>
          <w:iCs/>
          <w:szCs w:val="22"/>
        </w:rPr>
        <w:t xml:space="preserve">economic development </w:t>
      </w:r>
    </w:p>
    <w:p w14:paraId="76CE95E1" w14:textId="4B88AF77" w:rsidR="00A750A7" w:rsidRPr="0097412F" w:rsidRDefault="0097412F" w:rsidP="0097412F">
      <w:pPr>
        <w:spacing w:afterLines="120" w:after="288"/>
        <w:rPr>
          <w:rFonts w:cs="Arial"/>
          <w:bCs/>
          <w:szCs w:val="22"/>
        </w:rPr>
      </w:pPr>
      <w:r>
        <w:rPr>
          <w:rFonts w:cs="Arial"/>
          <w:bCs/>
          <w:szCs w:val="22"/>
        </w:rPr>
        <w:t xml:space="preserve">UNDP will partner </w:t>
      </w:r>
      <w:r w:rsidRPr="00961ADC">
        <w:rPr>
          <w:rFonts w:cs="Arial"/>
          <w:bCs/>
          <w:szCs w:val="22"/>
        </w:rPr>
        <w:t xml:space="preserve">with the Libyan </w:t>
      </w:r>
      <w:r w:rsidR="00674132" w:rsidRPr="00961ADC">
        <w:rPr>
          <w:rFonts w:cs="Arial"/>
          <w:bCs/>
          <w:szCs w:val="22"/>
        </w:rPr>
        <w:t xml:space="preserve">General </w:t>
      </w:r>
      <w:r w:rsidRPr="00F9487C">
        <w:rPr>
          <w:rFonts w:cs="Arial"/>
          <w:bCs/>
          <w:szCs w:val="22"/>
        </w:rPr>
        <w:t>Union of Chambers of Commerce</w:t>
      </w:r>
      <w:r w:rsidR="00674132" w:rsidRPr="00F9487C">
        <w:rPr>
          <w:rFonts w:cs="Arial"/>
          <w:bCs/>
          <w:szCs w:val="22"/>
        </w:rPr>
        <w:t xml:space="preserve"> (GUCC)</w:t>
      </w:r>
      <w:r w:rsidR="000411EE">
        <w:rPr>
          <w:rFonts w:cs="Arial"/>
          <w:bCs/>
          <w:szCs w:val="22"/>
        </w:rPr>
        <w:t xml:space="preserve"> and local </w:t>
      </w:r>
      <w:r w:rsidR="007F5612">
        <w:rPr>
          <w:rFonts w:cs="Arial"/>
          <w:bCs/>
          <w:szCs w:val="22"/>
        </w:rPr>
        <w:t>municipalities</w:t>
      </w:r>
      <w:r w:rsidR="00674132" w:rsidRPr="00961ADC">
        <w:rPr>
          <w:rFonts w:cs="Arial"/>
          <w:bCs/>
          <w:szCs w:val="22"/>
        </w:rPr>
        <w:t xml:space="preserve"> </w:t>
      </w:r>
      <w:r w:rsidRPr="00961ADC">
        <w:rPr>
          <w:rFonts w:cs="Arial"/>
          <w:bCs/>
          <w:szCs w:val="22"/>
        </w:rPr>
        <w:t xml:space="preserve">based in Tripoli to set up a platform </w:t>
      </w:r>
      <w:r w:rsidR="0017528C">
        <w:rPr>
          <w:rFonts w:cs="Arial"/>
          <w:bCs/>
          <w:szCs w:val="22"/>
        </w:rPr>
        <w:t>to leverage private sector involvement in</w:t>
      </w:r>
      <w:r w:rsidR="00A12237">
        <w:rPr>
          <w:rFonts w:cs="Arial"/>
          <w:bCs/>
          <w:szCs w:val="22"/>
        </w:rPr>
        <w:t xml:space="preserve"> the</w:t>
      </w:r>
      <w:r w:rsidR="00164EA6">
        <w:rPr>
          <w:rFonts w:cs="Arial"/>
          <w:bCs/>
          <w:szCs w:val="22"/>
        </w:rPr>
        <w:t xml:space="preserve"> local</w:t>
      </w:r>
      <w:r w:rsidR="00A12237">
        <w:rPr>
          <w:rFonts w:cs="Arial"/>
          <w:bCs/>
          <w:szCs w:val="22"/>
        </w:rPr>
        <w:t xml:space="preserve"> economic development. </w:t>
      </w:r>
      <w:r w:rsidR="00674132">
        <w:rPr>
          <w:rFonts w:cs="Arial"/>
          <w:bCs/>
          <w:szCs w:val="22"/>
        </w:rPr>
        <w:t xml:space="preserve">Through partnership with GUCC, UNDP will engage in capacity building of the institution as it works to support </w:t>
      </w:r>
      <w:r w:rsidR="00445B83">
        <w:rPr>
          <w:rFonts w:cs="Arial"/>
          <w:bCs/>
          <w:szCs w:val="22"/>
        </w:rPr>
        <w:t xml:space="preserve">its mission to aid in the development of the national economy, provide support to private sector actors, </w:t>
      </w:r>
      <w:r w:rsidR="00A7613B">
        <w:rPr>
          <w:rFonts w:cs="Arial"/>
          <w:bCs/>
          <w:szCs w:val="22"/>
        </w:rPr>
        <w:t>and act as means for dialogue and amplification of the ability of the private sector to articulate and participate in planning the development of the national economy.</w:t>
      </w:r>
    </w:p>
    <w:p w14:paraId="6B678415" w14:textId="4B3149FF" w:rsidR="00E57738" w:rsidRPr="0097412F" w:rsidRDefault="00E57738" w:rsidP="00E57738">
      <w:pPr>
        <w:spacing w:afterLines="120" w:after="288"/>
        <w:rPr>
          <w:rFonts w:cs="Arial"/>
          <w:b/>
          <w:szCs w:val="22"/>
        </w:rPr>
      </w:pPr>
      <w:r w:rsidRPr="0097412F">
        <w:rPr>
          <w:rFonts w:cs="Arial"/>
          <w:b/>
          <w:szCs w:val="22"/>
        </w:rPr>
        <w:t xml:space="preserve">Output 3:  </w:t>
      </w:r>
      <w:r w:rsidRPr="0097412F">
        <w:rPr>
          <w:rFonts w:eastAsiaTheme="minorEastAsia" w:cstheme="minorBidi"/>
          <w:b/>
          <w:szCs w:val="22"/>
          <w:lang w:eastAsia="ja-JP"/>
        </w:rPr>
        <w:t>Strengthen economic opportunities for youth and vulnerable groups through skills training partnership with Toyota Libya</w:t>
      </w:r>
    </w:p>
    <w:p w14:paraId="7D4319D4" w14:textId="70AFCE72" w:rsidR="00E57738" w:rsidRPr="0097412F" w:rsidRDefault="00E57738" w:rsidP="0097412F">
      <w:pPr>
        <w:spacing w:afterLines="120" w:after="288"/>
        <w:ind w:left="1170" w:hanging="1170"/>
        <w:rPr>
          <w:rFonts w:cs="Arial"/>
          <w:i/>
          <w:iCs/>
          <w:szCs w:val="22"/>
        </w:rPr>
      </w:pPr>
      <w:r w:rsidRPr="0097412F">
        <w:rPr>
          <w:rFonts w:cs="Arial"/>
          <w:i/>
          <w:iCs/>
          <w:szCs w:val="22"/>
        </w:rPr>
        <w:t>Activity 3.1: Conduct three-month training/apprenticeship sessions for 40 young people in Libya, including at least 25% IDPs</w:t>
      </w:r>
      <w:r w:rsidR="00950899">
        <w:rPr>
          <w:rFonts w:cs="Arial"/>
          <w:i/>
          <w:iCs/>
          <w:szCs w:val="22"/>
        </w:rPr>
        <w:t xml:space="preserve"> and</w:t>
      </w:r>
      <w:r w:rsidR="000411EE">
        <w:rPr>
          <w:rFonts w:cs="Arial"/>
          <w:i/>
          <w:iCs/>
          <w:szCs w:val="22"/>
        </w:rPr>
        <w:t xml:space="preserve"> migrant</w:t>
      </w:r>
      <w:r w:rsidR="002D12C6">
        <w:rPr>
          <w:rFonts w:cs="Arial"/>
          <w:i/>
          <w:iCs/>
          <w:szCs w:val="22"/>
        </w:rPr>
        <w:t>s</w:t>
      </w:r>
      <w:r w:rsidRPr="0097412F">
        <w:rPr>
          <w:rFonts w:cs="Arial"/>
          <w:i/>
          <w:iCs/>
          <w:szCs w:val="22"/>
        </w:rPr>
        <w:t>, in partnership with Toyota Libya</w:t>
      </w:r>
    </w:p>
    <w:p w14:paraId="1242D221" w14:textId="5BE4DE0B" w:rsidR="00E57738" w:rsidRPr="0097412F" w:rsidRDefault="00E57738" w:rsidP="0097412F">
      <w:pPr>
        <w:spacing w:afterLines="120" w:after="288"/>
        <w:ind w:left="1170" w:hanging="1170"/>
        <w:rPr>
          <w:rFonts w:cs="Arial"/>
          <w:i/>
          <w:iCs/>
          <w:szCs w:val="22"/>
        </w:rPr>
      </w:pPr>
      <w:r w:rsidRPr="0097412F">
        <w:rPr>
          <w:rFonts w:cs="Arial"/>
          <w:i/>
          <w:iCs/>
          <w:szCs w:val="22"/>
        </w:rPr>
        <w:t>Activity 3.2: Organize a graduation ceremony and a visibility event to mark to mark the end of the training with Toyota</w:t>
      </w:r>
    </w:p>
    <w:p w14:paraId="69F1C9A8" w14:textId="57CE75E1" w:rsidR="0097412F" w:rsidRPr="0097412F" w:rsidRDefault="0097412F" w:rsidP="0097412F">
      <w:pPr>
        <w:pStyle w:val="yiv7809038108msonormal"/>
        <w:spacing w:before="0" w:beforeAutospacing="0" w:after="120" w:afterAutospacing="0"/>
        <w:jc w:val="both"/>
        <w:rPr>
          <w:rFonts w:ascii="Arial" w:eastAsiaTheme="minorEastAsia" w:hAnsi="Arial" w:cs="Arial"/>
          <w:lang w:eastAsia="ja-JP"/>
        </w:rPr>
      </w:pPr>
      <w:r w:rsidRPr="0097412F">
        <w:rPr>
          <w:rFonts w:ascii="Arial" w:eastAsiaTheme="minorEastAsia" w:hAnsi="Arial" w:cs="Arial"/>
          <w:lang w:eastAsia="ja-JP"/>
        </w:rPr>
        <w:t xml:space="preserve">UNDP has signed an agreement with Toyota Libya to provide young Libyan people with three-month vocational training on car maintenance and repairing, computer skills and English among other disciplines. The partnership aims to help the country to cope with the rising unemployment among recent graduates and promote decent </w:t>
      </w:r>
      <w:r>
        <w:rPr>
          <w:rFonts w:ascii="Arial" w:eastAsiaTheme="minorEastAsia" w:hAnsi="Arial" w:cs="Arial"/>
          <w:lang w:eastAsia="ja-JP"/>
        </w:rPr>
        <w:t>work opportunities</w:t>
      </w:r>
      <w:r w:rsidRPr="0097412F">
        <w:rPr>
          <w:rFonts w:ascii="Arial" w:eastAsiaTheme="minorEastAsia" w:hAnsi="Arial" w:cs="Arial"/>
          <w:lang w:eastAsia="ja-JP"/>
        </w:rPr>
        <w:t>. The initiative is framed within Discover Your Talent, a programme that Toyota Libya has been implementing since 2012 as part of its corporate social responsibility component for Libya.  Through this partnership, UNDP and Toyota have cooperated together to provide 20 young people from 8 cities (Tripoli, Misrata, Sabratha, Azzawia, Sokna, Murzuq, Benghazi, Obari and Derna), including 25% IDPs</w:t>
      </w:r>
      <w:r w:rsidR="00950899">
        <w:rPr>
          <w:rFonts w:ascii="Arial" w:eastAsiaTheme="minorEastAsia" w:hAnsi="Arial" w:cs="Arial"/>
          <w:lang w:eastAsia="ja-JP"/>
        </w:rPr>
        <w:t xml:space="preserve"> and migrants</w:t>
      </w:r>
      <w:r w:rsidRPr="0097412F">
        <w:rPr>
          <w:rFonts w:ascii="Arial" w:eastAsiaTheme="minorEastAsia" w:hAnsi="Arial" w:cs="Arial"/>
          <w:lang w:eastAsia="ja-JP"/>
        </w:rPr>
        <w:t xml:space="preserve">, with 3 months mechanical engineering course. The successful of this project has made several cities across Libya to request same training. </w:t>
      </w:r>
    </w:p>
    <w:p w14:paraId="5430BFF2" w14:textId="166C8BC7" w:rsidR="00E57738" w:rsidRPr="0097412F" w:rsidRDefault="0097412F" w:rsidP="0097412F">
      <w:pPr>
        <w:pStyle w:val="yiv7809038108msonormal"/>
        <w:spacing w:before="0" w:beforeAutospacing="0" w:after="120" w:afterAutospacing="0"/>
        <w:jc w:val="both"/>
        <w:rPr>
          <w:rFonts w:ascii="Arial" w:eastAsiaTheme="minorEastAsia" w:hAnsi="Arial" w:cs="Arial"/>
          <w:lang w:eastAsia="ja-JP"/>
        </w:rPr>
      </w:pPr>
      <w:r w:rsidRPr="0097412F">
        <w:rPr>
          <w:rFonts w:ascii="Arial" w:eastAsiaTheme="minorEastAsia" w:hAnsi="Arial" w:cs="Arial"/>
          <w:lang w:eastAsia="ja-JP"/>
        </w:rPr>
        <w:t>Under this proposal, at least 2 partnerships with Toyota will be signed to provide 40 more young people with similar training opportunities and pave the way for them to have sustainable income. The project will target the most marginalized, including IDPs</w:t>
      </w:r>
      <w:r w:rsidR="00950899">
        <w:rPr>
          <w:rFonts w:ascii="Arial" w:eastAsiaTheme="minorEastAsia" w:hAnsi="Arial" w:cs="Arial"/>
          <w:lang w:eastAsia="ja-JP"/>
        </w:rPr>
        <w:t xml:space="preserve"> and migrants</w:t>
      </w:r>
      <w:r w:rsidRPr="0097412F">
        <w:rPr>
          <w:rFonts w:ascii="Arial" w:eastAsiaTheme="minorEastAsia" w:hAnsi="Arial" w:cs="Arial"/>
          <w:lang w:eastAsia="ja-JP"/>
        </w:rPr>
        <w:t xml:space="preserve">. After the end of training, a final graduation ceremony will be organized, hopefully with the presence of representatives of the Japanese Embassy in addition to UNDP, Toyota Foundation as well as the trainees themselves who will receive their certificates. The event will mark the end of training and will also be used as a visibility event to disseminate knowledge about the partnership and attract employers for the new graduates. </w:t>
      </w:r>
    </w:p>
    <w:p w14:paraId="5E95BAD9" w14:textId="77777777" w:rsidR="008D78A0" w:rsidRDefault="008D78A0" w:rsidP="0097412F">
      <w:pPr>
        <w:spacing w:afterLines="120" w:after="288"/>
        <w:rPr>
          <w:b/>
          <w:i/>
        </w:rPr>
      </w:pPr>
      <w:r w:rsidRPr="0097412F">
        <w:rPr>
          <w:rFonts w:cs="Arial"/>
          <w:b/>
          <w:i/>
          <w:szCs w:val="22"/>
        </w:rPr>
        <w:t>Resources Required to Achieve the</w:t>
      </w:r>
      <w:r w:rsidRPr="0097412F">
        <w:rPr>
          <w:rFonts w:cs="Arial"/>
          <w:b/>
          <w:i/>
        </w:rPr>
        <w:t xml:space="preserve"> Expected</w:t>
      </w:r>
      <w:r>
        <w:rPr>
          <w:b/>
          <w:i/>
        </w:rPr>
        <w:t xml:space="preserve"> Results</w:t>
      </w:r>
    </w:p>
    <w:p w14:paraId="312DF16C" w14:textId="11D4E903" w:rsidR="005329BC" w:rsidRDefault="009928B1" w:rsidP="0097412F">
      <w:pPr>
        <w:spacing w:afterLines="120" w:after="288"/>
      </w:pPr>
      <w:r>
        <w:t xml:space="preserve">The </w:t>
      </w:r>
      <w:r w:rsidR="005329BC">
        <w:t xml:space="preserve">UNDP will be responsible for the overall management of the project, primarily with regard to the responsibility for the achievement of the outputs (results). The project will work in close partnership with other projects within the </w:t>
      </w:r>
      <w:r w:rsidR="00EC324D">
        <w:t xml:space="preserve">UNDP Libya office including </w:t>
      </w:r>
      <w:r w:rsidR="00153C16">
        <w:t>Stabilization and Resilience and Recovery</w:t>
      </w:r>
      <w:r w:rsidR="00792D83">
        <w:t>,</w:t>
      </w:r>
      <w:r w:rsidR="00153C16">
        <w:t xml:space="preserve"> to leverage lessons learned and partnerships developed through both projects</w:t>
      </w:r>
      <w:r w:rsidR="00792D83">
        <w:t xml:space="preserve">. </w:t>
      </w:r>
    </w:p>
    <w:p w14:paraId="4A9386DD" w14:textId="1FB708C2" w:rsidR="005329BC" w:rsidRDefault="005329BC" w:rsidP="004071C0">
      <w:pPr>
        <w:spacing w:afterLines="120" w:after="288"/>
      </w:pPr>
      <w:r>
        <w:t xml:space="preserve">The project implementation will require the following types of resources: (a) human resources, including </w:t>
      </w:r>
      <w:r w:rsidR="005F16F2">
        <w:t>a</w:t>
      </w:r>
      <w:r>
        <w:t xml:space="preserve"> short-term local experts</w:t>
      </w:r>
      <w:r w:rsidR="00153C16">
        <w:t xml:space="preserve"> or </w:t>
      </w:r>
      <w:r>
        <w:t xml:space="preserve">international consultants; (b) financial resources as indicated in the work plan. </w:t>
      </w:r>
    </w:p>
    <w:p w14:paraId="18A9A2D4" w14:textId="6268D5BD" w:rsidR="005329BC" w:rsidRDefault="005329BC" w:rsidP="004071C0">
      <w:pPr>
        <w:spacing w:afterLines="120" w:after="288"/>
      </w:pPr>
      <w:r>
        <w:t xml:space="preserve">Procurement of any goods and services, needs of which will be identified during the project, will be done in accordance with </w:t>
      </w:r>
      <w:r w:rsidR="005F16F2">
        <w:t xml:space="preserve">the </w:t>
      </w:r>
      <w:r>
        <w:t>UNDP</w:t>
      </w:r>
      <w:r w:rsidR="005F16F2">
        <w:t>’s</w:t>
      </w:r>
      <w:r>
        <w:t xml:space="preserve"> Rules and Regulations (POPP). </w:t>
      </w:r>
    </w:p>
    <w:p w14:paraId="107368D0" w14:textId="77777777" w:rsidR="00D72157" w:rsidRDefault="00D72157" w:rsidP="004071C0">
      <w:pPr>
        <w:spacing w:afterLines="120" w:after="288"/>
        <w:rPr>
          <w:b/>
          <w:i/>
        </w:rPr>
      </w:pPr>
      <w:r>
        <w:rPr>
          <w:b/>
          <w:i/>
        </w:rPr>
        <w:t>Partnerships</w:t>
      </w:r>
    </w:p>
    <w:p w14:paraId="3E1357F1" w14:textId="4587053C" w:rsidR="001B5216" w:rsidRPr="001B5216" w:rsidRDefault="001B5216" w:rsidP="001B5216">
      <w:pPr>
        <w:spacing w:afterLines="120" w:after="288" w:line="0" w:lineRule="atLeast"/>
        <w:rPr>
          <w:rFonts w:cs="Arial"/>
          <w:b/>
          <w:bCs/>
          <w:i/>
          <w:iCs/>
          <w:szCs w:val="22"/>
        </w:rPr>
      </w:pPr>
      <w:r w:rsidRPr="001B5216">
        <w:rPr>
          <w:rFonts w:cs="Arial"/>
          <w:b/>
          <w:i/>
          <w:iCs/>
          <w:szCs w:val="22"/>
        </w:rPr>
        <w:t xml:space="preserve">Partnership with UN Agencies (not joint programme) </w:t>
      </w:r>
    </w:p>
    <w:p w14:paraId="07218EB9" w14:textId="77777777" w:rsidR="001B5216" w:rsidRPr="001B5216" w:rsidRDefault="001B5216" w:rsidP="001B5216">
      <w:pPr>
        <w:spacing w:afterLines="120" w:after="288" w:line="0" w:lineRule="atLeast"/>
        <w:rPr>
          <w:rFonts w:cs="Arial"/>
          <w:szCs w:val="22"/>
        </w:rPr>
      </w:pPr>
      <w:r w:rsidRPr="001B5216">
        <w:rPr>
          <w:rFonts w:cs="Arial"/>
          <w:szCs w:val="22"/>
        </w:rPr>
        <w:t xml:space="preserve">Name of Agencies:  UNSMIL, UN Humanitarian Team. </w:t>
      </w:r>
    </w:p>
    <w:p w14:paraId="2D6CFE57" w14:textId="77777777" w:rsidR="001B5216" w:rsidRPr="001B5216" w:rsidRDefault="001B5216" w:rsidP="001B5216">
      <w:pPr>
        <w:spacing w:afterLines="120" w:after="288" w:line="0" w:lineRule="atLeast"/>
        <w:rPr>
          <w:rFonts w:cs="Arial"/>
          <w:szCs w:val="22"/>
        </w:rPr>
      </w:pPr>
      <w:r w:rsidRPr="001B5216">
        <w:rPr>
          <w:rFonts w:cs="Arial"/>
          <w:szCs w:val="22"/>
        </w:rPr>
        <w:t xml:space="preserve">Throughout the implementation, UNDP promotes coherent and coordinated efforts amongst all partnerships. For the project START, UNDP will be coordinating closely with UNHCR and IOM relating to migrant areas and other concerned agencies such as FAO, and again with IOM for thematic areas of intervention in livelihoods and PVE. UNSMIL is a critical partner for UNDP in the area of peace and security regarding PVE interventions.   </w:t>
      </w:r>
    </w:p>
    <w:p w14:paraId="49660CBF" w14:textId="50FDF03C" w:rsidR="001B5216" w:rsidRPr="001B5216" w:rsidRDefault="001B5216" w:rsidP="001B5216">
      <w:pPr>
        <w:spacing w:afterLines="120" w:after="288" w:line="0" w:lineRule="atLeast"/>
        <w:rPr>
          <w:rFonts w:cs="Arial"/>
          <w:szCs w:val="22"/>
        </w:rPr>
      </w:pPr>
      <w:r w:rsidRPr="001B5216">
        <w:rPr>
          <w:rFonts w:cs="Arial"/>
          <w:szCs w:val="22"/>
        </w:rPr>
        <w:t xml:space="preserve">Through its lead role in the Early Recovery and Livelihoods </w:t>
      </w:r>
      <w:r w:rsidR="009B3E7E">
        <w:rPr>
          <w:rFonts w:cs="Arial"/>
          <w:szCs w:val="22"/>
        </w:rPr>
        <w:t>Working Group</w:t>
      </w:r>
      <w:r w:rsidRPr="001B5216">
        <w:rPr>
          <w:rFonts w:cs="Arial"/>
          <w:szCs w:val="22"/>
        </w:rPr>
        <w:t>, UNDP already coordinates, acts as a catalyst to advocate for resilience building in coordination with other UN agencies such as FAO, IOM, UNFPA, WHO, UNHCR, and UNICEF.</w:t>
      </w:r>
    </w:p>
    <w:p w14:paraId="0E59D543" w14:textId="53B5755E" w:rsidR="001B5216" w:rsidRPr="001B5216" w:rsidRDefault="001B5216" w:rsidP="00A7613B">
      <w:pPr>
        <w:spacing w:afterLines="120" w:after="288" w:line="0" w:lineRule="atLeast"/>
        <w:rPr>
          <w:rFonts w:cs="Arial"/>
          <w:b/>
          <w:i/>
          <w:iCs/>
          <w:szCs w:val="22"/>
        </w:rPr>
      </w:pPr>
      <w:r w:rsidRPr="001B5216">
        <w:rPr>
          <w:rFonts w:cs="Arial"/>
          <w:b/>
          <w:i/>
          <w:iCs/>
          <w:szCs w:val="22"/>
        </w:rPr>
        <w:t>Japanese Agen</w:t>
      </w:r>
      <w:r w:rsidRPr="00153C16">
        <w:rPr>
          <w:rFonts w:cs="Arial"/>
          <w:b/>
          <w:i/>
          <w:iCs/>
          <w:szCs w:val="22"/>
        </w:rPr>
        <w:t>cies</w:t>
      </w:r>
      <w:r w:rsidRPr="001B5216">
        <w:rPr>
          <w:rFonts w:cs="Arial"/>
          <w:b/>
          <w:i/>
          <w:iCs/>
          <w:szCs w:val="22"/>
        </w:rPr>
        <w:t xml:space="preserve"> </w:t>
      </w:r>
    </w:p>
    <w:p w14:paraId="0FA15DEF" w14:textId="77777777" w:rsidR="00A7613B" w:rsidRDefault="001B5216" w:rsidP="001B5216">
      <w:pPr>
        <w:spacing w:afterLines="120" w:after="288" w:line="0" w:lineRule="atLeast"/>
        <w:rPr>
          <w:rFonts w:cs="Arial"/>
          <w:szCs w:val="22"/>
        </w:rPr>
      </w:pPr>
      <w:r w:rsidRPr="001B5216">
        <w:rPr>
          <w:rFonts w:cs="Arial"/>
          <w:szCs w:val="22"/>
        </w:rPr>
        <w:t>Name of Agencies: Toyota.</w:t>
      </w:r>
    </w:p>
    <w:p w14:paraId="27571D52" w14:textId="11BE33DE" w:rsidR="001B5216" w:rsidRPr="001B5216" w:rsidRDefault="001B5216" w:rsidP="001B5216">
      <w:pPr>
        <w:spacing w:afterLines="120" w:after="288" w:line="0" w:lineRule="atLeast"/>
        <w:rPr>
          <w:rFonts w:cs="Arial"/>
          <w:szCs w:val="22"/>
        </w:rPr>
      </w:pPr>
      <w:r w:rsidRPr="001B5216">
        <w:rPr>
          <w:rFonts w:cs="Arial"/>
          <w:szCs w:val="22"/>
        </w:rPr>
        <w:t xml:space="preserve">UNDP has signed an agreement with Toyota Libya to provide young Libyan people with three-month vocational training on car maintenance and repairing, computer skills and English among other disciplines. The partnership aims to help the country to cope with the rising unemployment </w:t>
      </w:r>
      <w:r w:rsidR="00CB5E3B">
        <w:rPr>
          <w:rFonts w:cs="Arial"/>
          <w:szCs w:val="22"/>
        </w:rPr>
        <w:t xml:space="preserve">rate </w:t>
      </w:r>
      <w:r w:rsidRPr="001B5216">
        <w:rPr>
          <w:rFonts w:cs="Arial"/>
          <w:szCs w:val="22"/>
        </w:rPr>
        <w:t>among recent graduates and promote decent jobs. The initiative is framed within Discover Your Talent, a programme that Toyota Libya has been implementing since 2012 as part of its corporate social responsibility component for Libya</w:t>
      </w:r>
      <w:r w:rsidR="002E246E">
        <w:rPr>
          <w:rFonts w:cs="Arial"/>
          <w:szCs w:val="22"/>
        </w:rPr>
        <w:t xml:space="preserve">. The detailed activities were mentioned under output 3. </w:t>
      </w:r>
      <w:r w:rsidRPr="001B5216">
        <w:rPr>
          <w:rFonts w:cs="Arial"/>
          <w:szCs w:val="22"/>
        </w:rPr>
        <w:t>.</w:t>
      </w:r>
    </w:p>
    <w:p w14:paraId="6096C0BF" w14:textId="77777777" w:rsidR="00E006ED" w:rsidRPr="00D55D40" w:rsidRDefault="00E006ED" w:rsidP="004071C0">
      <w:pPr>
        <w:spacing w:afterLines="120" w:after="288"/>
        <w:rPr>
          <w:b/>
          <w:i/>
        </w:rPr>
      </w:pPr>
      <w:r>
        <w:rPr>
          <w:b/>
          <w:i/>
        </w:rPr>
        <w:t>Risks</w:t>
      </w:r>
      <w:r w:rsidR="0001785A">
        <w:rPr>
          <w:b/>
          <w:i/>
        </w:rPr>
        <w:t xml:space="preserve"> </w:t>
      </w:r>
      <w:r w:rsidR="00606833">
        <w:rPr>
          <w:b/>
          <w:i/>
        </w:rPr>
        <w:t>and Assumptions</w:t>
      </w:r>
    </w:p>
    <w:p w14:paraId="4ACE13BC" w14:textId="4620AB1B" w:rsidR="004C4C2F" w:rsidRDefault="00A7613B" w:rsidP="004071C0">
      <w:pPr>
        <w:spacing w:afterLines="120" w:after="288"/>
        <w:rPr>
          <w:iCs/>
        </w:rPr>
      </w:pPr>
      <w:r>
        <w:rPr>
          <w:iCs/>
        </w:rPr>
        <w:t>The project will operate within the context of Libya’s protracted insecurity and instability. The conflict environment can be expected to affect UNDP’s ability to deliver project activities in various ways, for example by limiting consistent access to certain geographic areas. Consideration of the direct impact of conflict on the project will continue throughout implementation and UNDP and its partners will anticipate and mitigate risks as best as possible through coordination with local partners.</w:t>
      </w:r>
    </w:p>
    <w:p w14:paraId="6E5109D1" w14:textId="3290FD77" w:rsidR="00A7613B" w:rsidRDefault="00A7613B" w:rsidP="004071C0">
      <w:pPr>
        <w:spacing w:afterLines="120" w:after="288"/>
        <w:rPr>
          <w:iCs/>
        </w:rPr>
      </w:pPr>
      <w:r>
        <w:rPr>
          <w:iCs/>
        </w:rPr>
        <w:t xml:space="preserve">Project design has been informed by previous conflict analyses conducted by UNDP as well as UNDP expertise in operating in </w:t>
      </w:r>
      <w:r w:rsidR="00200743">
        <w:rPr>
          <w:iCs/>
        </w:rPr>
        <w:t>conflict/post-conflict contexts throughout the region. Hence, project activities have already been designed with a focus on some of the structural causes of instability, including the need for access to basic services and livelihoods. Preventing, managing and resolving conflict is at the core of UNDP’s approach in Libya and this project represents a deepening of these efforts. Through indirect modes, this project seeks to positively affect conflict dynamics and improve social cohesion and local development.</w:t>
      </w:r>
    </w:p>
    <w:p w14:paraId="2C3444CE" w14:textId="2781D29A" w:rsidR="001B5216" w:rsidRDefault="00200743" w:rsidP="00B64AEC">
      <w:pPr>
        <w:spacing w:afterLines="120" w:after="288"/>
        <w:rPr>
          <w:iCs/>
        </w:rPr>
      </w:pPr>
      <w:r>
        <w:rPr>
          <w:iCs/>
        </w:rPr>
        <w:t>At the same time, the project will be attentive to avoid contributing inadvertently to fuelling conflict drivers by sticking to recognised principles of the do-no-harm approach</w:t>
      </w:r>
      <w:r w:rsidR="00B3125F">
        <w:rPr>
          <w:iCs/>
        </w:rPr>
        <w:t xml:space="preserve">. This includes maintaining </w:t>
      </w:r>
      <w:r w:rsidR="00B64AEC">
        <w:rPr>
          <w:iCs/>
        </w:rPr>
        <w:t>a close and dynamic understanding of the context in each target location, by keeping equality of participation across community divides, as well as by building adequate consultation and communication with the community at large into all activities.</w:t>
      </w:r>
    </w:p>
    <w:p w14:paraId="4F9DDA04" w14:textId="0F2E079D" w:rsidR="00B64AEC" w:rsidRDefault="00B64AEC" w:rsidP="00B64AEC">
      <w:pPr>
        <w:spacing w:afterLines="120" w:after="288"/>
        <w:rPr>
          <w:iCs/>
        </w:rPr>
      </w:pPr>
      <w:r>
        <w:rPr>
          <w:iCs/>
        </w:rPr>
        <w:t>A number of specific considerations have also been identified to make this project conflict-sensitive:</w:t>
      </w:r>
    </w:p>
    <w:p w14:paraId="73E6D11F" w14:textId="1334301A" w:rsidR="00B64AEC" w:rsidRPr="00CD35DA" w:rsidRDefault="00B64AEC" w:rsidP="00B64AEC">
      <w:pPr>
        <w:pStyle w:val="ListParagraph"/>
        <w:numPr>
          <w:ilvl w:val="0"/>
          <w:numId w:val="57"/>
        </w:numPr>
        <w:spacing w:afterLines="120" w:after="288"/>
        <w:jc w:val="both"/>
        <w:rPr>
          <w:rFonts w:ascii="Arial" w:hAnsi="Arial" w:cs="Arial"/>
          <w:iCs/>
          <w:sz w:val="22"/>
          <w:szCs w:val="22"/>
        </w:rPr>
      </w:pPr>
      <w:r w:rsidRPr="00CD35DA">
        <w:rPr>
          <w:rFonts w:ascii="Arial" w:hAnsi="Arial" w:cs="Arial"/>
          <w:i/>
          <w:sz w:val="22"/>
          <w:szCs w:val="22"/>
        </w:rPr>
        <w:t>Need for tailored approaches to each local area:</w:t>
      </w:r>
      <w:r w:rsidRPr="00CD35DA">
        <w:rPr>
          <w:rFonts w:ascii="Arial" w:hAnsi="Arial" w:cs="Arial"/>
          <w:iCs/>
          <w:sz w:val="22"/>
          <w:szCs w:val="22"/>
        </w:rPr>
        <w:t xml:space="preserve"> there is a diversity between municipalities regarding development, opportunities for livelihood initiatives, drivers of communal conflict and power dynamics. While the project will follow a broadly similar approach country-wide, it will be necessary to ensure that this approach is also responsive and adaptable to the peculiarities of each location. This includes, through the rapid assessment, ensuring initiatives and support are tailored to the local context and </w:t>
      </w:r>
      <w:r w:rsidR="00CD76CB" w:rsidRPr="00CD35DA">
        <w:rPr>
          <w:rFonts w:ascii="Arial" w:hAnsi="Arial" w:cs="Arial"/>
          <w:iCs/>
          <w:sz w:val="22"/>
          <w:szCs w:val="22"/>
        </w:rPr>
        <w:t>the greatest needs are taken into account.</w:t>
      </w:r>
    </w:p>
    <w:p w14:paraId="542622B2" w14:textId="6167875B" w:rsidR="00CD76CB" w:rsidRPr="00CD35DA" w:rsidRDefault="00CD76CB" w:rsidP="00B64AEC">
      <w:pPr>
        <w:pStyle w:val="ListParagraph"/>
        <w:numPr>
          <w:ilvl w:val="0"/>
          <w:numId w:val="57"/>
        </w:numPr>
        <w:spacing w:afterLines="120" w:after="288"/>
        <w:jc w:val="both"/>
        <w:rPr>
          <w:rFonts w:ascii="Arial" w:hAnsi="Arial" w:cs="Arial"/>
          <w:iCs/>
          <w:sz w:val="22"/>
          <w:szCs w:val="22"/>
        </w:rPr>
      </w:pPr>
      <w:r w:rsidRPr="00CD35DA">
        <w:rPr>
          <w:rFonts w:ascii="Arial" w:hAnsi="Arial" w:cs="Arial"/>
          <w:i/>
          <w:sz w:val="22"/>
          <w:szCs w:val="22"/>
        </w:rPr>
        <w:t>Importance of including informal local actors:</w:t>
      </w:r>
      <w:r w:rsidRPr="00CD35DA">
        <w:rPr>
          <w:rFonts w:ascii="Arial" w:hAnsi="Arial" w:cs="Arial"/>
          <w:iCs/>
          <w:sz w:val="22"/>
          <w:szCs w:val="22"/>
        </w:rPr>
        <w:t xml:space="preserve"> municipalities are fairly new entities within Libya – where informal community leaders such as tribal leaders, wisemen, religious leaders and others often play important roles in the community, particularly in terms of addressing disputes and insecurity. It will be essential to include these actors in project activities, to ensure that they do not act as spoilers</w:t>
      </w:r>
      <w:r w:rsidR="0040437E" w:rsidRPr="00CD35DA">
        <w:rPr>
          <w:rFonts w:ascii="Arial" w:hAnsi="Arial" w:cs="Arial"/>
          <w:iCs/>
          <w:sz w:val="22"/>
          <w:szCs w:val="22"/>
        </w:rPr>
        <w:t xml:space="preserve">, </w:t>
      </w:r>
      <w:r w:rsidRPr="00CD35DA">
        <w:rPr>
          <w:rFonts w:ascii="Arial" w:hAnsi="Arial" w:cs="Arial"/>
          <w:iCs/>
          <w:sz w:val="22"/>
          <w:szCs w:val="22"/>
        </w:rPr>
        <w:t>to strengthen the relevance and legitimacy of municipal actions</w:t>
      </w:r>
      <w:r w:rsidR="0040437E" w:rsidRPr="00CD35DA">
        <w:rPr>
          <w:rFonts w:ascii="Arial" w:hAnsi="Arial" w:cs="Arial"/>
          <w:iCs/>
          <w:sz w:val="22"/>
          <w:szCs w:val="22"/>
        </w:rPr>
        <w:t>, and to ensure that project beneficiaries receive the full support of local authorities.</w:t>
      </w:r>
    </w:p>
    <w:p w14:paraId="5BC09F59" w14:textId="1BF45DF8" w:rsidR="0040437E" w:rsidRPr="00CD35DA" w:rsidRDefault="0040437E" w:rsidP="00B64AEC">
      <w:pPr>
        <w:pStyle w:val="ListParagraph"/>
        <w:numPr>
          <w:ilvl w:val="0"/>
          <w:numId w:val="57"/>
        </w:numPr>
        <w:spacing w:afterLines="120" w:after="288"/>
        <w:jc w:val="both"/>
        <w:rPr>
          <w:rFonts w:ascii="Arial" w:hAnsi="Arial" w:cs="Arial"/>
          <w:iCs/>
          <w:sz w:val="22"/>
          <w:szCs w:val="22"/>
        </w:rPr>
      </w:pPr>
      <w:r w:rsidRPr="00CD35DA">
        <w:rPr>
          <w:rFonts w:ascii="Arial" w:hAnsi="Arial" w:cs="Arial"/>
          <w:i/>
          <w:sz w:val="22"/>
          <w:szCs w:val="22"/>
        </w:rPr>
        <w:t xml:space="preserve">Sensitive approach to strengthening the role of municipalities: </w:t>
      </w:r>
      <w:r w:rsidRPr="00CD35DA">
        <w:rPr>
          <w:rFonts w:ascii="Arial" w:hAnsi="Arial" w:cs="Arial"/>
          <w:iCs/>
          <w:sz w:val="22"/>
          <w:szCs w:val="22"/>
        </w:rPr>
        <w:t>municipalities and local communities play a growing role in public affairs and this process should be strengthened in principle to nurture resilience, peacebuilding and recovery. At the same time, further decentralization in Libya now would suffer from an uncertain political, legal, and administrative framework. Hasty efforts to strengthen local authorities in a context of such great instability could exacerbate centrifugal tendencies. To counter this, while strengthening local capacities, the project will also focus on developing relations and cooperation between the central and local levels, and work to resolve administrative uncertainties affecting this relationship where possible.</w:t>
      </w:r>
    </w:p>
    <w:p w14:paraId="68085382" w14:textId="77777777" w:rsidR="00D72157" w:rsidRDefault="00D72157" w:rsidP="004071C0">
      <w:pPr>
        <w:spacing w:afterLines="120" w:after="288"/>
        <w:rPr>
          <w:b/>
          <w:i/>
        </w:rPr>
      </w:pPr>
      <w:r>
        <w:rPr>
          <w:b/>
          <w:i/>
        </w:rPr>
        <w:t>Stakeholder Engagement</w:t>
      </w:r>
    </w:p>
    <w:p w14:paraId="29C6212F" w14:textId="6A5F8989" w:rsidR="004C4C2F" w:rsidRDefault="00A019A4" w:rsidP="00A019A4">
      <w:pPr>
        <w:spacing w:afterLines="120" w:after="288"/>
      </w:pPr>
      <w:r>
        <w:t>The START programme is centred around stakeholder engagement as part of the</w:t>
      </w:r>
      <w:r w:rsidR="00153C16">
        <w:t xml:space="preserve"> private sector</w:t>
      </w:r>
      <w:r w:rsidR="000B72D2">
        <w:t xml:space="preserve"> actors</w:t>
      </w:r>
      <w:r w:rsidR="00153C16">
        <w:t>, trainees, conflict-affected communities</w:t>
      </w:r>
      <w:r w:rsidR="00E95464">
        <w:t>, migrants</w:t>
      </w:r>
      <w:r w:rsidR="00153C16">
        <w:t xml:space="preserve"> and IDPs</w:t>
      </w:r>
      <w:r w:rsidR="00E95464">
        <w:t>.</w:t>
      </w:r>
    </w:p>
    <w:p w14:paraId="391E0079" w14:textId="4F04E850" w:rsidR="00E95464" w:rsidRDefault="00E95464" w:rsidP="00E95464">
      <w:pPr>
        <w:spacing w:afterLines="120" w:after="288"/>
      </w:pPr>
      <w:r>
        <w:t>Partners for the START initiative include, but is not limited to, relevant ministries – Labour or Economy &amp; Industry, local CSOs, local municipal authorities, and the Libyan GUCC.</w:t>
      </w:r>
    </w:p>
    <w:p w14:paraId="7B2E9123" w14:textId="00446444" w:rsidR="003D20F7" w:rsidRDefault="003D20F7" w:rsidP="003D20F7">
      <w:pPr>
        <w:spacing w:afterLines="120" w:after="288"/>
        <w:rPr>
          <w:b/>
          <w:i/>
        </w:rPr>
      </w:pPr>
      <w:r>
        <w:rPr>
          <w:b/>
          <w:i/>
        </w:rPr>
        <w:t xml:space="preserve">Donor visibilities </w:t>
      </w:r>
    </w:p>
    <w:p w14:paraId="5C5CC9D5" w14:textId="0C8CE3AA" w:rsidR="003D20F7" w:rsidRPr="008D0D26" w:rsidRDefault="003D20F7" w:rsidP="003D20F7">
      <w:pPr>
        <w:spacing w:afterLines="120" w:after="288"/>
      </w:pPr>
      <w:r w:rsidRPr="008D0D26">
        <w:t xml:space="preserve">There will be numerous multimedia outputs, both online and offline, which will mention the </w:t>
      </w:r>
      <w:r>
        <w:t>Japanese</w:t>
      </w:r>
      <w:r w:rsidRPr="008D0D26">
        <w:t xml:space="preserve"> Government funding of the pro</w:t>
      </w:r>
      <w:r>
        <w:t>ject</w:t>
      </w:r>
      <w:r w:rsidRPr="008D0D26">
        <w:t xml:space="preserve"> and that can be used to raise the visibility of the </w:t>
      </w:r>
      <w:r>
        <w:t>Government of Japan</w:t>
      </w:r>
      <w:r w:rsidRPr="008D0D26">
        <w:t>.</w:t>
      </w:r>
      <w:r w:rsidR="00555691">
        <w:t xml:space="preserve"> </w:t>
      </w:r>
      <w:r w:rsidRPr="008D0D26">
        <w:t>Each</w:t>
      </w:r>
      <w:r w:rsidR="00555691">
        <w:t xml:space="preserve"> </w:t>
      </w:r>
      <w:r w:rsidRPr="008D0D26">
        <w:t>output, namely</w:t>
      </w:r>
      <w:r>
        <w:t xml:space="preserve"> </w:t>
      </w:r>
      <w:r w:rsidRPr="008D0D26">
        <w:t xml:space="preserve">press releases, brochures, posters, publications, outdoor banners, broadcast and shared video stories will note the project funding by the Government of </w:t>
      </w:r>
      <w:r>
        <w:t>Japan</w:t>
      </w:r>
      <w:r w:rsidRPr="008D0D26">
        <w:t xml:space="preserve">. Seminars, training sessions and conferences that are held during the project will have banners displaying project and funding information at their venues. </w:t>
      </w:r>
    </w:p>
    <w:p w14:paraId="47EBEFA6" w14:textId="2207FC23" w:rsidR="003D20F7" w:rsidRPr="008D0D26" w:rsidRDefault="003D20F7" w:rsidP="003D20F7">
      <w:pPr>
        <w:spacing w:afterLines="120" w:after="288"/>
      </w:pPr>
      <w:r w:rsidRPr="008D0D26">
        <w:t xml:space="preserve">Representatives of the Embassy of </w:t>
      </w:r>
      <w:r>
        <w:t>Japan to Libya</w:t>
      </w:r>
      <w:r w:rsidRPr="008D0D26">
        <w:t xml:space="preserve"> will be invited to participate in </w:t>
      </w:r>
      <w:r>
        <w:t>the graduation ceremony under output 3.</w:t>
      </w:r>
    </w:p>
    <w:p w14:paraId="219C8EFF" w14:textId="24F436ED" w:rsidR="009C2CAD" w:rsidRPr="006E7AE0" w:rsidRDefault="009C2CAD" w:rsidP="004071C0">
      <w:pPr>
        <w:spacing w:afterLines="120" w:after="288"/>
        <w:rPr>
          <w:b/>
        </w:rPr>
      </w:pPr>
      <w:r w:rsidRPr="006E7AE0">
        <w:rPr>
          <w:b/>
          <w:i/>
        </w:rPr>
        <w:t>Sustainability</w:t>
      </w:r>
      <w:r w:rsidR="003830B6">
        <w:rPr>
          <w:b/>
          <w:i/>
        </w:rPr>
        <w:t xml:space="preserve"> and Scaling Up</w:t>
      </w:r>
    </w:p>
    <w:p w14:paraId="16AEED31" w14:textId="6CDC1180" w:rsidR="00E95464" w:rsidRDefault="004071C0" w:rsidP="00A019A4">
      <w:pPr>
        <w:spacing w:afterLines="120" w:after="288"/>
      </w:pPr>
      <w:r>
        <w:t>START for Libya represents a scaling-up of previous and current stabilization efforts, and an intention to lock in progress by leveraging support already provided in key areas</w:t>
      </w:r>
      <w:r w:rsidR="00E95464">
        <w:t xml:space="preserve">. The rapid assessment planned </w:t>
      </w:r>
      <w:r w:rsidR="002D2699">
        <w:t>in Output 1 will ensure that activities are evidence-based, area-specific</w:t>
      </w:r>
      <w:r w:rsidR="004F75E1">
        <w:t xml:space="preserve">, sustainable, and therefore, increase the social impact. </w:t>
      </w:r>
    </w:p>
    <w:p w14:paraId="64C84DD3" w14:textId="6443463F" w:rsidR="004F75E1" w:rsidRDefault="004F75E1" w:rsidP="00A019A4">
      <w:pPr>
        <w:spacing w:afterLines="120" w:after="288"/>
      </w:pPr>
      <w:r>
        <w:t>The partnership with the GUCC in Output 2 includes a c</w:t>
      </w:r>
      <w:r w:rsidR="00153C16">
        <w:t xml:space="preserve">apacity building </w:t>
      </w:r>
      <w:r>
        <w:t>exercise, as well as an element of networking and promoting a decentralized process for economic development planning. These activities are also directly linked with several of the SDGs.</w:t>
      </w:r>
    </w:p>
    <w:p w14:paraId="241BC977" w14:textId="606978EF" w:rsidR="00FA6A15" w:rsidRDefault="00FA6A15" w:rsidP="00A019A4">
      <w:pPr>
        <w:spacing w:afterLines="120" w:after="288"/>
      </w:pPr>
      <w:r>
        <w:t>UNDP Libya’s partnership with Toyota (Output 3) will be a scaling-up and close coordination with Toyota on a project that is Toyota has been implementing independently. UNDP’s participation will allow for an expansion of the activities to include more beneficiaries, and a link with UNDP</w:t>
      </w:r>
      <w:r w:rsidR="00E939B4">
        <w:t>’s</w:t>
      </w:r>
      <w:r>
        <w:t xml:space="preserve"> and its partner’s activities in Output 1.</w:t>
      </w:r>
    </w:p>
    <w:p w14:paraId="56F946B7" w14:textId="4E638198" w:rsidR="009941E9" w:rsidRDefault="00E939B4" w:rsidP="004071C0">
      <w:pPr>
        <w:spacing w:afterLines="120" w:after="288"/>
      </w:pPr>
      <w:r>
        <w:t>The</w:t>
      </w:r>
      <w:r w:rsidR="001B5216">
        <w:t xml:space="preserve"> implementation and </w:t>
      </w:r>
      <w:r>
        <w:t>progress made under the</w:t>
      </w:r>
      <w:r w:rsidR="001B5216">
        <w:t xml:space="preserve"> START</w:t>
      </w:r>
      <w:r>
        <w:t xml:space="preserve"> project will allow</w:t>
      </w:r>
      <w:r w:rsidR="001B5216">
        <w:t xml:space="preserve"> </w:t>
      </w:r>
      <w:r>
        <w:t>UNDP Libya to expand its engagement with local partners and reach vulnerable communities at a time</w:t>
      </w:r>
      <w:r w:rsidR="00632BC2">
        <w:t xml:space="preserve"> where the political context is rapidly changing. UNDP Libya’s strategy of consulting with </w:t>
      </w:r>
      <w:r w:rsidR="00E677B9">
        <w:t>local authorities and communities to establish goals and work plans is key to involving actors at all stages of implementation and ensure interventions have a clear rationale and are sustainable.</w:t>
      </w:r>
    </w:p>
    <w:p w14:paraId="7EE386B3" w14:textId="77777777" w:rsidR="009941E9" w:rsidRPr="00051C87" w:rsidRDefault="00D55D40" w:rsidP="009941E9">
      <w:pPr>
        <w:pStyle w:val="Heading1"/>
        <w:pBdr>
          <w:top w:val="single" w:sz="4" w:space="0" w:color="auto"/>
        </w:pBdr>
      </w:pPr>
      <w:r>
        <w:t xml:space="preserve">Project </w:t>
      </w:r>
      <w:r w:rsidR="009941E9">
        <w:t>Management</w:t>
      </w:r>
      <w:r w:rsidR="00635B19">
        <w:t xml:space="preserve"> </w:t>
      </w:r>
    </w:p>
    <w:p w14:paraId="1FBEBE20" w14:textId="2F96669A" w:rsidR="008527B9" w:rsidRDefault="008527B9" w:rsidP="008527B9">
      <w:pPr>
        <w:spacing w:afterLines="120" w:after="288"/>
      </w:pPr>
      <w:r>
        <w:t xml:space="preserve">The Project will be implemented and managed by the UNDP Libya Country Office and implemented through local and international partner organizations. UNDP staff including Japanese nationals will take the leading in managing this project. </w:t>
      </w:r>
      <w:r>
        <w:rPr>
          <w:b/>
          <w:bCs/>
        </w:rPr>
        <w:t xml:space="preserve">Output 1 </w:t>
      </w:r>
      <w:r>
        <w:t xml:space="preserve">will include a partnership with a consultant to conduct the rapid needs assessment and an NGO to implement the livelihoods support initiatives. </w:t>
      </w:r>
      <w:r>
        <w:rPr>
          <w:b/>
          <w:bCs/>
        </w:rPr>
        <w:t>Output 2</w:t>
      </w:r>
      <w:r>
        <w:t xml:space="preserve"> is a direct partnership between UNDP and the Libyan GUCC. </w:t>
      </w:r>
      <w:r w:rsidR="00353FB3">
        <w:t>UNDP may take a</w:t>
      </w:r>
      <w:r>
        <w:t xml:space="preserve"> local partner </w:t>
      </w:r>
      <w:r w:rsidR="00CB151F">
        <w:t xml:space="preserve">NGO </w:t>
      </w:r>
      <w:r w:rsidR="00353FB3">
        <w:t>to</w:t>
      </w:r>
      <w:r w:rsidR="00CB151F">
        <w:t xml:space="preserve"> participate in certain activities carried out under this output. </w:t>
      </w:r>
      <w:r w:rsidR="00B872DB">
        <w:rPr>
          <w:b/>
          <w:bCs/>
        </w:rPr>
        <w:t xml:space="preserve">Output 3 </w:t>
      </w:r>
      <w:r w:rsidR="00B872DB">
        <w:t xml:space="preserve">is conducted in partnership with Toyota Libya and, some activities, with the local NGO partner. UNDP’s expertise in </w:t>
      </w:r>
      <w:r w:rsidR="00353FB3">
        <w:t>providing</w:t>
      </w:r>
      <w:r w:rsidR="00B872DB">
        <w:t xml:space="preserve"> </w:t>
      </w:r>
      <w:r w:rsidR="00353FB3">
        <w:t>livelihoods and early recovery support in a post-conflict context will support effective programming and capacity development of local partners.</w:t>
      </w:r>
    </w:p>
    <w:p w14:paraId="101E17F0" w14:textId="5043F433" w:rsidR="00353FB3" w:rsidRDefault="00353FB3" w:rsidP="008527B9">
      <w:pPr>
        <w:spacing w:afterLines="120" w:after="288"/>
      </w:pPr>
      <w:r>
        <w:t>Effective management of the project will be critical, given it importance, size and novelty. To this end, UNDP will secure a high-quality project management system while ensuring risk management and project approaches sensitive to the conflict and political environment in Libya. UNDP will closely coordinate with the project’s partners to provide needed information and to enable smooth and speedy financial and operational transactions to facilitate timely implementation of the project. UNDP will maintain regular interactions with UNDP staff presence in Tripoli and selected municipalities for monitoring, quality assurance, community outreach, and, as needed, grievance management</w:t>
      </w:r>
      <w:r w:rsidR="00EC53DF">
        <w:t>. Third party monitoring will also feed into UNDP’s monitoring work. UNDP will prepare annual narrative and financial reports and end of project reports consolidating inputs from the responsible parties as well as to convene project board meetings.</w:t>
      </w:r>
    </w:p>
    <w:p w14:paraId="660E546A" w14:textId="77777777" w:rsidR="00716EB4" w:rsidRDefault="00EC53DF" w:rsidP="00716EB4">
      <w:pPr>
        <w:spacing w:afterLines="120" w:after="288"/>
      </w:pPr>
      <w:r>
        <w:t xml:space="preserve">To ensure the project is implemented according to corporate policies the following functions will contribute directly to the implementation of the project activities. </w:t>
      </w:r>
      <w:r w:rsidR="00C51BC8">
        <w:t xml:space="preserve">UNDP Libya increases cost efficiency by sharing office costs and management/administration staff with other projects in the Country Office. </w:t>
      </w:r>
      <w:r>
        <w:t>The project team – located in project-dedicated space within the two UNDP offices in Tunis and Tripoli – is comprised of project management and technical functions as well as support functions at different levels to ensure that procurement, HR, and finance services are efficiently and effectively delivered to meet project needs and conform to UNDP policies and procedures – to ensure checks and balances and separation of duties are in place.</w:t>
      </w:r>
      <w:r w:rsidR="00716EB4">
        <w:t xml:space="preserve"> These functions include:</w:t>
      </w:r>
    </w:p>
    <w:p w14:paraId="42E0607C" w14:textId="14FBF96F" w:rsidR="00980DFB" w:rsidRDefault="00716EB4" w:rsidP="00980DFB">
      <w:pPr>
        <w:spacing w:afterLines="120" w:after="288"/>
        <w:rPr>
          <w:b/>
          <w:bCs/>
        </w:rPr>
      </w:pPr>
      <w:r>
        <w:rPr>
          <w:b/>
          <w:bCs/>
        </w:rPr>
        <w:t>Project Manager</w:t>
      </w:r>
    </w:p>
    <w:p w14:paraId="6DEF085D" w14:textId="258761E9" w:rsidR="00980DFB" w:rsidRPr="008D0D26" w:rsidRDefault="00980DFB" w:rsidP="00980DFB">
      <w:pPr>
        <w:spacing w:afterLines="120" w:after="288"/>
      </w:pPr>
      <w:r>
        <w:t xml:space="preserve">The project will be managed by the Project Manager who will report directly to the UNDP Libya Programme Coordinator and will be based in Tunis with missions to Tripoli and targeted locations when possible. The Project Manager will have the overall responsibility for day-to-day management of the project including timely and efficient delivery of the project technical, operational, financial and administrative outputs and substantive project inputs specifically linked with the decentralization and local development agenda as well as with the Libya Stabilization Facility; overall coordination of resilience and recovery UNDP actions, regular outreach and coordination with the project beneficiaries, coordination and quality assurance of expert inputs an products; regular coordination among project partners to ensure coherence and complementarity. The Project Manager will be </w:t>
      </w:r>
      <w:r w:rsidRPr="008D0D26">
        <w:t xml:space="preserve">charged </w:t>
      </w:r>
      <w:r w:rsidR="00D305C2" w:rsidRPr="008D0D26">
        <w:t>100</w:t>
      </w:r>
      <w:r w:rsidRPr="008D0D26">
        <w:t>% to the project budget.</w:t>
      </w:r>
    </w:p>
    <w:p w14:paraId="6350F1E7" w14:textId="55C3E1CA" w:rsidR="00980DFB" w:rsidRPr="008D0D26" w:rsidRDefault="00D305C2" w:rsidP="00980DFB">
      <w:pPr>
        <w:spacing w:afterLines="120" w:after="288"/>
        <w:rPr>
          <w:b/>
          <w:bCs/>
        </w:rPr>
      </w:pPr>
      <w:r w:rsidRPr="008D0D26">
        <w:rPr>
          <w:b/>
          <w:bCs/>
        </w:rPr>
        <w:t>Project Associate</w:t>
      </w:r>
    </w:p>
    <w:p w14:paraId="032F0EBB" w14:textId="2FE9B951" w:rsidR="00980DFB" w:rsidRPr="008D0D26" w:rsidRDefault="00A75B22" w:rsidP="00A75B22">
      <w:pPr>
        <w:spacing w:afterLines="120" w:after="288"/>
      </w:pPr>
      <w:r w:rsidRPr="008D0D26">
        <w:t xml:space="preserve">Under the overall guidance and supervision of the project manager, the Project Associate will be </w:t>
      </w:r>
      <w:r w:rsidR="004A0D99" w:rsidRPr="008D0D26">
        <w:t xml:space="preserve">based in Tunis and will be </w:t>
      </w:r>
      <w:r w:rsidRPr="008D0D26">
        <w:t>responsible for the overall support of implementation of the ongoing</w:t>
      </w:r>
      <w:r w:rsidR="00D308F8" w:rsidRPr="008D0D26">
        <w:t xml:space="preserve"> </w:t>
      </w:r>
      <w:r w:rsidRPr="008D0D26">
        <w:t>project, performing a variety of standard operational services within the project framework ensuring high quality and accuracy of work.</w:t>
      </w:r>
      <w:r w:rsidR="00D308F8" w:rsidRPr="008D0D26">
        <w:t xml:space="preserve"> </w:t>
      </w:r>
      <w:r w:rsidRPr="008D0D26">
        <w:t>The Project Associate will work closely with all office</w:t>
      </w:r>
      <w:r w:rsidR="00D308F8" w:rsidRPr="008D0D26">
        <w:t xml:space="preserve"> </w:t>
      </w:r>
      <w:r w:rsidRPr="008D0D26">
        <w:t>projects’ personnel and UNDP CO team to ensure relevant requirements are fulfilled in a timely manner with required quality, following the highest standards in line with UNDP guidelines and procedures</w:t>
      </w:r>
      <w:r w:rsidR="00BA23F0" w:rsidRPr="008D0D26">
        <w:t xml:space="preserve">. </w:t>
      </w:r>
      <w:r w:rsidR="00980DFB" w:rsidRPr="008D0D26">
        <w:t xml:space="preserve">The </w:t>
      </w:r>
      <w:r w:rsidR="00BA23F0" w:rsidRPr="008D0D26">
        <w:t>P</w:t>
      </w:r>
      <w:r w:rsidR="00980DFB" w:rsidRPr="008D0D26">
        <w:t>ro</w:t>
      </w:r>
      <w:r w:rsidR="00BA23F0" w:rsidRPr="008D0D26">
        <w:t xml:space="preserve">ject Associate </w:t>
      </w:r>
      <w:r w:rsidR="00980DFB" w:rsidRPr="008D0D26">
        <w:t xml:space="preserve">will be charged </w:t>
      </w:r>
      <w:r w:rsidR="00BA23F0" w:rsidRPr="008D0D26">
        <w:t>100</w:t>
      </w:r>
      <w:r w:rsidR="00980DFB" w:rsidRPr="008D0D26">
        <w:t>% to the project budget.</w:t>
      </w:r>
    </w:p>
    <w:p w14:paraId="0F328918" w14:textId="3CAC1681" w:rsidR="00C64C4D" w:rsidRDefault="00980DFB" w:rsidP="00980DFB">
      <w:pPr>
        <w:spacing w:afterLines="120" w:after="288"/>
        <w:rPr>
          <w:b/>
          <w:bCs/>
          <w:u w:val="single"/>
        </w:rPr>
      </w:pPr>
      <w:r w:rsidRPr="008D0D26">
        <w:rPr>
          <w:b/>
          <w:bCs/>
        </w:rPr>
        <w:t>Local Project Coordinator</w:t>
      </w:r>
      <w:r w:rsidR="0090289F" w:rsidRPr="008D0D26">
        <w:t xml:space="preserve">The </w:t>
      </w:r>
      <w:r w:rsidR="005E14AD" w:rsidRPr="008D0D26">
        <w:t>Local Project Coordinator – based in Tripoli will be responsible for strategic programme planning, coordination and implementation of project activities at the country level. The</w:t>
      </w:r>
      <w:r w:rsidR="0090289F" w:rsidRPr="008D0D26">
        <w:t xml:space="preserve"> Local Project Coordinator</w:t>
      </w:r>
      <w:r w:rsidR="005E14AD" w:rsidRPr="008D0D26">
        <w:t xml:space="preserve"> will be responsible for the efficient coordination of project activities, including planning processes, and timely delivery of results taking into consideration agreed upon work plans. </w:t>
      </w:r>
      <w:r w:rsidR="00D87681" w:rsidRPr="008D0D26">
        <w:t>The Local Project Coordinator</w:t>
      </w:r>
      <w:r w:rsidR="005E14AD" w:rsidRPr="008D0D26">
        <w:t xml:space="preserve"> will be charged 100%</w:t>
      </w:r>
      <w:r w:rsidR="005E14AD">
        <w:t xml:space="preserve"> to the project budget.</w:t>
      </w:r>
      <w:r w:rsidR="00C64C4D">
        <w:rPr>
          <w:b/>
          <w:bCs/>
          <w:u w:val="single"/>
        </w:rPr>
        <w:t>Operations Management Team</w:t>
      </w:r>
    </w:p>
    <w:p w14:paraId="20ADF0B1" w14:textId="0BBFEEFF" w:rsidR="00C64C4D" w:rsidRPr="00C64C4D" w:rsidRDefault="00C64C4D" w:rsidP="00980DFB">
      <w:pPr>
        <w:spacing w:afterLines="120" w:after="288"/>
      </w:pPr>
      <w:r>
        <w:t>Due to the volume of operations foreseen in this project two functions are required to ensure efficient and effective project implementation. The segregation of duties will ensure checks and balances as per UNDP Policies and Procedures.</w:t>
      </w:r>
      <w:r w:rsidR="00294F2B">
        <w:t xml:space="preserve"> This team will be shared with UNDP Libya Country Office and necessary cost contributions will be determined.</w:t>
      </w:r>
    </w:p>
    <w:p w14:paraId="0A65580C" w14:textId="4BF77B76" w:rsidR="00C64C4D" w:rsidRDefault="00C64C4D" w:rsidP="00980DFB">
      <w:pPr>
        <w:spacing w:afterLines="120" w:after="288"/>
        <w:rPr>
          <w:b/>
          <w:bCs/>
          <w:u w:val="single"/>
        </w:rPr>
      </w:pPr>
      <w:r>
        <w:rPr>
          <w:b/>
          <w:bCs/>
          <w:u w:val="single"/>
        </w:rPr>
        <w:t xml:space="preserve">Finance Team </w:t>
      </w:r>
    </w:p>
    <w:p w14:paraId="586FCA64" w14:textId="77777777" w:rsidR="00294F2B" w:rsidRPr="00C64C4D" w:rsidRDefault="00294F2B" w:rsidP="00294F2B">
      <w:pPr>
        <w:spacing w:afterLines="120" w:after="288"/>
      </w:pPr>
      <w:r>
        <w:t>Due to the volume of operations foreseen in this project two functions are required to ensure efficient and effective project implementation. The segregation of duties will ensure checks and balances as per UNDP Policies and Procedures. This team will be shared with UNDP Libya Country Office and necessary cost contributions will be determined.</w:t>
      </w:r>
    </w:p>
    <w:p w14:paraId="2A04B46B" w14:textId="77777777" w:rsidR="00C64C4D" w:rsidRDefault="00C64C4D" w:rsidP="00980DFB">
      <w:pPr>
        <w:spacing w:afterLines="120" w:after="288"/>
        <w:rPr>
          <w:b/>
          <w:bCs/>
          <w:u w:val="single"/>
        </w:rPr>
      </w:pPr>
      <w:r>
        <w:rPr>
          <w:b/>
          <w:bCs/>
          <w:u w:val="single"/>
        </w:rPr>
        <w:t xml:space="preserve">Procurement Support Team </w:t>
      </w:r>
    </w:p>
    <w:p w14:paraId="53B455C3" w14:textId="77777777" w:rsidR="00294F2B" w:rsidRPr="00C64C4D" w:rsidRDefault="00294F2B" w:rsidP="00294F2B">
      <w:pPr>
        <w:spacing w:afterLines="120" w:after="288"/>
      </w:pPr>
      <w:r>
        <w:t>Due to the volume of operations foreseen in this project two functions are required to ensure efficient and effective project implementation. The segregation of duties will ensure checks and balances as per UNDP Policies and Procedures. This team will be shared with UNDP Libya Country Office and necessary cost contributions will be determined.</w:t>
      </w:r>
    </w:p>
    <w:p w14:paraId="4EDD8E8F" w14:textId="77777777" w:rsidR="00294F2B" w:rsidRPr="006F625E" w:rsidRDefault="00294F2B" w:rsidP="00980DFB">
      <w:pPr>
        <w:spacing w:afterLines="120" w:after="288"/>
        <w:rPr>
          <w:rFonts w:cs="Arial"/>
          <w:szCs w:val="22"/>
        </w:rPr>
      </w:pPr>
      <w:r>
        <w:t xml:space="preserve">Consultants will support implementation of activities highlighted in the project document. The specific breakdown of technical advisors or consultants will be identified once the assessment for the area selected is </w:t>
      </w:r>
      <w:r w:rsidRPr="006F625E">
        <w:rPr>
          <w:rFonts w:cs="Arial"/>
          <w:szCs w:val="22"/>
        </w:rPr>
        <w:t>conducted. Consultant advisors may be recruited under a third-party contractor A number of individual consultants may be deployed part-time as needed.  If the security situation permits, advisors may be recruited, or transitioned, to UNDP consultancy contracts.</w:t>
      </w:r>
    </w:p>
    <w:p w14:paraId="78A0E9C9" w14:textId="77777777" w:rsidR="00294F2B" w:rsidRPr="006F625E" w:rsidRDefault="00294F2B" w:rsidP="00980DFB">
      <w:pPr>
        <w:spacing w:afterLines="120" w:after="288"/>
        <w:rPr>
          <w:rFonts w:cs="Arial"/>
          <w:szCs w:val="22"/>
        </w:rPr>
      </w:pPr>
      <w:r w:rsidRPr="006F625E">
        <w:rPr>
          <w:rFonts w:cs="Arial"/>
          <w:szCs w:val="22"/>
        </w:rPr>
        <w:t>In implementing this project, there are several categories of costs that are envisaged for the functioning of the Project Office, including:</w:t>
      </w:r>
    </w:p>
    <w:p w14:paraId="15C7EE6D" w14:textId="77777777" w:rsidR="00D9284B" w:rsidRDefault="00294F2B" w:rsidP="00D9284B">
      <w:pPr>
        <w:pStyle w:val="ListParagraph"/>
        <w:numPr>
          <w:ilvl w:val="0"/>
          <w:numId w:val="64"/>
        </w:numPr>
        <w:spacing w:afterLines="120" w:after="288"/>
        <w:jc w:val="both"/>
        <w:rPr>
          <w:rFonts w:ascii="Arial" w:hAnsi="Arial" w:cs="Arial"/>
          <w:sz w:val="22"/>
          <w:szCs w:val="22"/>
        </w:rPr>
      </w:pPr>
      <w:r w:rsidRPr="006F625E">
        <w:rPr>
          <w:rFonts w:ascii="Arial" w:hAnsi="Arial" w:cs="Arial"/>
          <w:b/>
          <w:bCs/>
          <w:sz w:val="22"/>
          <w:szCs w:val="22"/>
        </w:rPr>
        <w:t xml:space="preserve">Travel: </w:t>
      </w:r>
      <w:r w:rsidRPr="006F625E">
        <w:rPr>
          <w:rFonts w:ascii="Arial" w:hAnsi="Arial" w:cs="Arial"/>
          <w:sz w:val="22"/>
          <w:szCs w:val="22"/>
        </w:rPr>
        <w:t xml:space="preserve">To secure a smooth implementation of the activities, the project foresees a </w:t>
      </w:r>
      <w:r w:rsidR="00D9284B">
        <w:rPr>
          <w:rFonts w:ascii="Arial" w:hAnsi="Arial" w:cs="Arial"/>
          <w:sz w:val="22"/>
          <w:szCs w:val="22"/>
        </w:rPr>
        <w:t xml:space="preserve">travel </w:t>
      </w:r>
      <w:r w:rsidRPr="006F625E">
        <w:rPr>
          <w:rFonts w:ascii="Arial" w:hAnsi="Arial" w:cs="Arial"/>
          <w:sz w:val="22"/>
          <w:szCs w:val="22"/>
        </w:rPr>
        <w:t xml:space="preserve">cost – including DSA and travel fares – for </w:t>
      </w:r>
      <w:r w:rsidR="006F625E" w:rsidRPr="006F625E">
        <w:rPr>
          <w:rFonts w:ascii="Arial" w:hAnsi="Arial" w:cs="Arial"/>
          <w:sz w:val="22"/>
          <w:szCs w:val="22"/>
        </w:rPr>
        <w:t xml:space="preserve">missions between </w:t>
      </w:r>
      <w:r w:rsidRPr="006F625E">
        <w:rPr>
          <w:rFonts w:ascii="Arial" w:hAnsi="Arial" w:cs="Arial"/>
          <w:sz w:val="22"/>
          <w:szCs w:val="22"/>
        </w:rPr>
        <w:t xml:space="preserve">Libya to Tunis </w:t>
      </w:r>
      <w:r w:rsidR="006F625E" w:rsidRPr="006F625E">
        <w:rPr>
          <w:rFonts w:ascii="Arial" w:hAnsi="Arial" w:cs="Arial"/>
          <w:sz w:val="22"/>
          <w:szCs w:val="22"/>
        </w:rPr>
        <w:t xml:space="preserve">as needed while the team remains remote due to the security situation. </w:t>
      </w:r>
    </w:p>
    <w:p w14:paraId="1771E168" w14:textId="08FBA118" w:rsidR="00D9284B" w:rsidRPr="00772E19" w:rsidRDefault="00D9284B" w:rsidP="00772E19">
      <w:pPr>
        <w:pStyle w:val="ListParagraph"/>
        <w:numPr>
          <w:ilvl w:val="0"/>
          <w:numId w:val="64"/>
        </w:numPr>
        <w:spacing w:afterLines="120" w:after="288"/>
        <w:jc w:val="both"/>
        <w:rPr>
          <w:rFonts w:ascii="Arial" w:hAnsi="Arial" w:cs="Arial"/>
          <w:sz w:val="22"/>
          <w:szCs w:val="22"/>
        </w:rPr>
      </w:pPr>
      <w:r>
        <w:rPr>
          <w:rFonts w:ascii="Arial" w:hAnsi="Arial" w:cs="Arial"/>
          <w:b/>
          <w:bCs/>
          <w:sz w:val="22"/>
          <w:szCs w:val="22"/>
        </w:rPr>
        <w:t xml:space="preserve">Project Office: </w:t>
      </w:r>
      <w:r w:rsidR="00F41DD5">
        <w:rPr>
          <w:rFonts w:ascii="Arial" w:hAnsi="Arial" w:cs="Arial"/>
          <w:sz w:val="22"/>
          <w:szCs w:val="22"/>
        </w:rPr>
        <w:t>To efficiently implement activities</w:t>
      </w:r>
      <w:r w:rsidR="00C37335">
        <w:rPr>
          <w:rFonts w:ascii="Arial" w:hAnsi="Arial" w:cs="Arial"/>
          <w:sz w:val="22"/>
          <w:szCs w:val="22"/>
        </w:rPr>
        <w:t xml:space="preserve">, this project includes expenses related to office rent, office security, communication and internet, stationary </w:t>
      </w:r>
      <w:r w:rsidR="00C37335" w:rsidRPr="00772E19">
        <w:rPr>
          <w:rFonts w:ascii="Arial" w:hAnsi="Arial" w:cs="Arial"/>
          <w:sz w:val="22"/>
          <w:szCs w:val="22"/>
        </w:rPr>
        <w:t>and other office supplies, and office equipment maintenance.</w:t>
      </w:r>
    </w:p>
    <w:p w14:paraId="6237E267" w14:textId="77777777" w:rsidR="00C37335" w:rsidRPr="00772E19" w:rsidRDefault="00D9284B" w:rsidP="00772E19">
      <w:pPr>
        <w:pStyle w:val="ListParagraph"/>
        <w:numPr>
          <w:ilvl w:val="0"/>
          <w:numId w:val="64"/>
        </w:numPr>
        <w:spacing w:afterLines="120" w:after="288"/>
        <w:jc w:val="both"/>
        <w:rPr>
          <w:rFonts w:ascii="Arial" w:hAnsi="Arial" w:cs="Arial"/>
          <w:sz w:val="22"/>
          <w:szCs w:val="22"/>
        </w:rPr>
      </w:pPr>
      <w:r w:rsidRPr="00772E19">
        <w:rPr>
          <w:rFonts w:ascii="Arial" w:hAnsi="Arial" w:cs="Arial"/>
          <w:b/>
          <w:bCs/>
          <w:sz w:val="22"/>
          <w:szCs w:val="22"/>
        </w:rPr>
        <w:t xml:space="preserve">Equipment and Supplies: </w:t>
      </w:r>
      <w:r w:rsidRPr="00772E19">
        <w:rPr>
          <w:rFonts w:ascii="Arial" w:hAnsi="Arial" w:cs="Arial"/>
          <w:sz w:val="22"/>
          <w:szCs w:val="22"/>
        </w:rPr>
        <w:t>The project foresees a cost for purchasing of IT equipment and office furniture, including maintenance costs for the project-related staff</w:t>
      </w:r>
      <w:r w:rsidR="00C37335" w:rsidRPr="00772E19">
        <w:rPr>
          <w:rFonts w:ascii="Arial" w:hAnsi="Arial" w:cs="Arial"/>
          <w:sz w:val="22"/>
          <w:szCs w:val="22"/>
        </w:rPr>
        <w:t>.</w:t>
      </w:r>
    </w:p>
    <w:p w14:paraId="4C7F4A8F" w14:textId="77777777" w:rsidR="00C37335" w:rsidRPr="00772E19" w:rsidRDefault="00C37335" w:rsidP="00772E19">
      <w:pPr>
        <w:spacing w:afterLines="120" w:after="288"/>
        <w:rPr>
          <w:rFonts w:cs="Arial"/>
          <w:szCs w:val="22"/>
        </w:rPr>
      </w:pPr>
      <w:r w:rsidRPr="00772E19">
        <w:rPr>
          <w:rFonts w:cs="Arial"/>
          <w:b/>
          <w:bCs/>
          <w:szCs w:val="22"/>
        </w:rPr>
        <w:t>Implementation arrangements:</w:t>
      </w:r>
      <w:r w:rsidRPr="00772E19">
        <w:rPr>
          <w:rFonts w:cs="Arial"/>
          <w:szCs w:val="22"/>
        </w:rPr>
        <w:t xml:space="preserve"> there are </w:t>
      </w:r>
      <w:r w:rsidR="00772E19" w:rsidRPr="00772E19">
        <w:rPr>
          <w:rFonts w:cs="Arial"/>
          <w:szCs w:val="22"/>
        </w:rPr>
        <w:t>four main elements that should be considered in the implementation arrangements:</w:t>
      </w:r>
    </w:p>
    <w:p w14:paraId="6253BE5D" w14:textId="4EE1DCFE" w:rsidR="00772E19" w:rsidRPr="00772E19" w:rsidRDefault="00772E19" w:rsidP="00772E19">
      <w:pPr>
        <w:pStyle w:val="ListParagraph"/>
        <w:numPr>
          <w:ilvl w:val="0"/>
          <w:numId w:val="65"/>
        </w:numPr>
        <w:spacing w:afterLines="120" w:after="288"/>
        <w:jc w:val="both"/>
        <w:rPr>
          <w:rFonts w:ascii="Arial" w:hAnsi="Arial" w:cs="Arial"/>
          <w:sz w:val="22"/>
          <w:szCs w:val="22"/>
        </w:rPr>
      </w:pPr>
      <w:r w:rsidRPr="00772E19">
        <w:rPr>
          <w:rFonts w:ascii="Arial" w:hAnsi="Arial" w:cs="Arial"/>
          <w:b/>
          <w:bCs/>
          <w:sz w:val="22"/>
          <w:szCs w:val="22"/>
        </w:rPr>
        <w:t>Access:</w:t>
      </w:r>
      <w:r w:rsidRPr="00772E19">
        <w:rPr>
          <w:rFonts w:ascii="Arial" w:hAnsi="Arial" w:cs="Arial"/>
          <w:sz w:val="22"/>
          <w:szCs w:val="22"/>
        </w:rPr>
        <w:t xml:space="preserve"> </w:t>
      </w:r>
      <w:r w:rsidR="00976630">
        <w:rPr>
          <w:rFonts w:ascii="Arial" w:hAnsi="Arial" w:cs="Arial"/>
          <w:sz w:val="22"/>
          <w:szCs w:val="22"/>
        </w:rPr>
        <w:t>T</w:t>
      </w:r>
      <w:r w:rsidRPr="00772E19">
        <w:rPr>
          <w:rFonts w:ascii="Arial" w:hAnsi="Arial" w:cs="Arial"/>
          <w:sz w:val="22"/>
          <w:szCs w:val="22"/>
        </w:rPr>
        <w:t xml:space="preserve">he implementation of the direct livelihoods support activities will be visible elements </w:t>
      </w:r>
      <w:r>
        <w:rPr>
          <w:rFonts w:ascii="Arial" w:hAnsi="Arial" w:cs="Arial"/>
          <w:sz w:val="22"/>
          <w:szCs w:val="22"/>
        </w:rPr>
        <w:t xml:space="preserve">of the project. </w:t>
      </w:r>
      <w:r w:rsidR="00976630">
        <w:rPr>
          <w:rFonts w:ascii="Arial" w:hAnsi="Arial" w:cs="Arial"/>
          <w:sz w:val="22"/>
          <w:szCs w:val="22"/>
        </w:rPr>
        <w:t xml:space="preserve">Given the need to have close connection and coordination, and local level presence in implementation areas, UNDP will </w:t>
      </w:r>
      <w:r w:rsidR="007164DF">
        <w:rPr>
          <w:rFonts w:ascii="Arial" w:hAnsi="Arial" w:cs="Arial"/>
          <w:sz w:val="22"/>
          <w:szCs w:val="22"/>
        </w:rPr>
        <w:t xml:space="preserve">work together with </w:t>
      </w:r>
      <w:r w:rsidR="00976630">
        <w:rPr>
          <w:rFonts w:ascii="Arial" w:hAnsi="Arial" w:cs="Arial"/>
          <w:sz w:val="22"/>
          <w:szCs w:val="22"/>
        </w:rPr>
        <w:t xml:space="preserve">local NGO partners </w:t>
      </w:r>
      <w:r w:rsidR="007164DF">
        <w:rPr>
          <w:rFonts w:ascii="Arial" w:hAnsi="Arial" w:cs="Arial"/>
          <w:sz w:val="22"/>
          <w:szCs w:val="22"/>
        </w:rPr>
        <w:t>in</w:t>
      </w:r>
      <w:r w:rsidR="00976630">
        <w:rPr>
          <w:rFonts w:ascii="Arial" w:hAnsi="Arial" w:cs="Arial"/>
          <w:sz w:val="22"/>
          <w:szCs w:val="22"/>
        </w:rPr>
        <w:t xml:space="preserve"> the field for day-to day implementation of these activities, mostly in Output 1. National (and maybe international) NGOs with livelihoods experience will be contracted through responsible party agreements to grant UNDP greater operational flexibility at the local level, especially outside of Tripoli while the security situation is unstable. This arrangement is already in practice across Libya for current and previous UNDP interventions.</w:t>
      </w:r>
    </w:p>
    <w:p w14:paraId="19B96BC5" w14:textId="5309B8C8" w:rsidR="00772E19" w:rsidRPr="00772E19" w:rsidRDefault="00772E19" w:rsidP="00772E19">
      <w:pPr>
        <w:pStyle w:val="ListParagraph"/>
        <w:numPr>
          <w:ilvl w:val="0"/>
          <w:numId w:val="65"/>
        </w:numPr>
        <w:spacing w:afterLines="120" w:after="288"/>
        <w:jc w:val="both"/>
        <w:rPr>
          <w:rFonts w:ascii="Arial" w:hAnsi="Arial" w:cs="Arial"/>
          <w:sz w:val="22"/>
          <w:szCs w:val="22"/>
        </w:rPr>
      </w:pPr>
      <w:r w:rsidRPr="00772E19">
        <w:rPr>
          <w:rFonts w:ascii="Arial" w:hAnsi="Arial" w:cs="Arial"/>
          <w:b/>
          <w:bCs/>
          <w:sz w:val="22"/>
          <w:szCs w:val="22"/>
        </w:rPr>
        <w:t>Speed:</w:t>
      </w:r>
      <w:r w:rsidR="00976630">
        <w:rPr>
          <w:rFonts w:ascii="Arial" w:hAnsi="Arial" w:cs="Arial"/>
          <w:b/>
          <w:bCs/>
          <w:sz w:val="22"/>
          <w:szCs w:val="22"/>
        </w:rPr>
        <w:t xml:space="preserve"> </w:t>
      </w:r>
      <w:r w:rsidR="00976630">
        <w:rPr>
          <w:rFonts w:ascii="Arial" w:hAnsi="Arial" w:cs="Arial"/>
          <w:sz w:val="22"/>
          <w:szCs w:val="22"/>
        </w:rPr>
        <w:t xml:space="preserve">The project activities aim to be implemented by the end of </w:t>
      </w:r>
      <w:r w:rsidR="000A04ED">
        <w:rPr>
          <w:rFonts w:ascii="Arial" w:hAnsi="Arial" w:cs="Arial"/>
          <w:sz w:val="22"/>
          <w:szCs w:val="22"/>
        </w:rPr>
        <w:t>February</w:t>
      </w:r>
      <w:r w:rsidR="00976630">
        <w:rPr>
          <w:rFonts w:ascii="Arial" w:hAnsi="Arial" w:cs="Arial"/>
          <w:sz w:val="22"/>
          <w:szCs w:val="22"/>
        </w:rPr>
        <w:t xml:space="preserve"> 2021, thus a quick launch of requests for proposals and partner selection will be critical. UNDP will benefit from the knowledge of partners on the ground and previous engagements that have provided lessons learnt from local engagements with NGOs and increased trust of UNDP on the part of local authorities and future beneficiaries.</w:t>
      </w:r>
    </w:p>
    <w:p w14:paraId="7236A7E5" w14:textId="6DCB66CC" w:rsidR="00772E19" w:rsidRPr="00772E19" w:rsidRDefault="00772E19" w:rsidP="00772E19">
      <w:pPr>
        <w:pStyle w:val="ListParagraph"/>
        <w:numPr>
          <w:ilvl w:val="0"/>
          <w:numId w:val="65"/>
        </w:numPr>
        <w:spacing w:afterLines="120" w:after="288"/>
        <w:jc w:val="both"/>
        <w:rPr>
          <w:rFonts w:ascii="Arial" w:hAnsi="Arial" w:cs="Arial"/>
          <w:sz w:val="22"/>
          <w:szCs w:val="22"/>
        </w:rPr>
      </w:pPr>
      <w:r w:rsidRPr="00772E19">
        <w:rPr>
          <w:rFonts w:ascii="Arial" w:hAnsi="Arial" w:cs="Arial"/>
          <w:b/>
          <w:bCs/>
          <w:sz w:val="22"/>
          <w:szCs w:val="22"/>
        </w:rPr>
        <w:t>Monitoring:</w:t>
      </w:r>
      <w:r w:rsidR="00976630">
        <w:rPr>
          <w:rFonts w:ascii="Arial" w:hAnsi="Arial" w:cs="Arial"/>
          <w:b/>
          <w:bCs/>
          <w:sz w:val="22"/>
          <w:szCs w:val="22"/>
        </w:rPr>
        <w:t xml:space="preserve"> </w:t>
      </w:r>
      <w:r w:rsidR="00976630">
        <w:rPr>
          <w:rFonts w:ascii="Arial" w:hAnsi="Arial" w:cs="Arial"/>
          <w:sz w:val="22"/>
          <w:szCs w:val="22"/>
        </w:rPr>
        <w:t>The monitoring of activities on the ground will be undertaken by staff contracted through partner NGOs until security permits UNDP staff movements and access to project sites. The selected partner organization will report directly to the Project Manager on progress of activities, results and budget use.</w:t>
      </w:r>
    </w:p>
    <w:p w14:paraId="5C212BDA" w14:textId="79686CE7" w:rsidR="00772E19" w:rsidRPr="00976630" w:rsidRDefault="00772E19" w:rsidP="00976630">
      <w:pPr>
        <w:pStyle w:val="ListParagraph"/>
        <w:numPr>
          <w:ilvl w:val="0"/>
          <w:numId w:val="65"/>
        </w:numPr>
        <w:spacing w:afterLines="120" w:after="288"/>
        <w:jc w:val="both"/>
        <w:rPr>
          <w:rFonts w:ascii="Arial" w:hAnsi="Arial" w:cs="Arial"/>
          <w:sz w:val="22"/>
          <w:szCs w:val="22"/>
        </w:rPr>
        <w:sectPr w:rsidR="00772E19" w:rsidRPr="00976630" w:rsidSect="00B24448">
          <w:headerReference w:type="default" r:id="rId12"/>
          <w:footerReference w:type="even" r:id="rId13"/>
          <w:footerReference w:type="default" r:id="rId14"/>
          <w:headerReference w:type="first" r:id="rId15"/>
          <w:footerReference w:type="first" r:id="rId16"/>
          <w:pgSz w:w="11906" w:h="16838" w:code="9"/>
          <w:pgMar w:top="864" w:right="1152" w:bottom="864" w:left="1152" w:header="720" w:footer="432" w:gutter="0"/>
          <w:cols w:space="708"/>
          <w:titlePg/>
          <w:docGrid w:linePitch="360"/>
        </w:sectPr>
      </w:pPr>
      <w:r w:rsidRPr="00772E19">
        <w:rPr>
          <w:rFonts w:ascii="Arial" w:hAnsi="Arial" w:cs="Arial"/>
          <w:b/>
          <w:bCs/>
          <w:sz w:val="22"/>
          <w:szCs w:val="22"/>
        </w:rPr>
        <w:t>Risk-informed decision-making:</w:t>
      </w:r>
      <w:r w:rsidR="00976630">
        <w:rPr>
          <w:rFonts w:ascii="Arial" w:hAnsi="Arial" w:cs="Arial"/>
          <w:sz w:val="22"/>
          <w:szCs w:val="22"/>
        </w:rPr>
        <w:t xml:space="preserve"> To ensure a risk-informed and conflict-sensitive project implementation, the project will permanently assess the situation in the country and relate it to the actual project implementation. The project will look at following critical risks: (1) political context and possible political leverage; (2) the security situation; (3) the project risks</w:t>
      </w:r>
      <w:r w:rsidR="004F7D70">
        <w:rPr>
          <w:rFonts w:ascii="Arial" w:hAnsi="Arial" w:cs="Arial"/>
          <w:sz w:val="22"/>
          <w:szCs w:val="22"/>
        </w:rPr>
        <w:t xml:space="preserve"> (i.e. conflict sensitivity); and (4) the operational risks.</w:t>
      </w:r>
    </w:p>
    <w:p w14:paraId="5488A894" w14:textId="3209D42B" w:rsidR="00856A2C" w:rsidRDefault="00856A2C" w:rsidP="002F3343">
      <w:pPr>
        <w:pStyle w:val="Heading1"/>
        <w:spacing w:after="120"/>
      </w:pPr>
      <w:r>
        <w:t>Results Framework</w:t>
      </w: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4410"/>
        <w:gridCol w:w="2250"/>
        <w:gridCol w:w="990"/>
        <w:gridCol w:w="1980"/>
        <w:gridCol w:w="2340"/>
      </w:tblGrid>
      <w:tr w:rsidR="00251869" w:rsidRPr="00A90DA2" w14:paraId="02664DFA" w14:textId="77777777" w:rsidTr="00251869">
        <w:trPr>
          <w:cantSplit/>
          <w:tblHeader/>
        </w:trPr>
        <w:tc>
          <w:tcPr>
            <w:tcW w:w="14647" w:type="dxa"/>
            <w:gridSpan w:val="6"/>
          </w:tcPr>
          <w:p w14:paraId="19B82077" w14:textId="77777777" w:rsidR="004848D5" w:rsidRPr="000C0EDE" w:rsidRDefault="004848D5" w:rsidP="00A019A4">
            <w:pPr>
              <w:spacing w:after="0"/>
              <w:contextualSpacing/>
              <w:rPr>
                <w:rFonts w:ascii="Calibri" w:hAnsi="Calibri" w:cs="Calibri"/>
                <w:b/>
                <w:sz w:val="18"/>
                <w:szCs w:val="18"/>
              </w:rPr>
            </w:pPr>
            <w:r w:rsidRPr="000C0EDE">
              <w:rPr>
                <w:rFonts w:ascii="Calibri" w:hAnsi="Calibri" w:cs="Calibri"/>
                <w:b/>
                <w:sz w:val="18"/>
                <w:szCs w:val="18"/>
              </w:rPr>
              <w:t xml:space="preserve">Intended Outcome as stated in the UNDAF/Country [or Global/Regional] Programme Results and Resource Framework: </w:t>
            </w:r>
          </w:p>
          <w:p w14:paraId="47C241E2" w14:textId="7CA537D3" w:rsidR="004848D5" w:rsidRPr="000C0EDE" w:rsidRDefault="001B5216" w:rsidP="00A019A4">
            <w:pPr>
              <w:spacing w:after="0"/>
              <w:contextualSpacing/>
              <w:jc w:val="left"/>
              <w:rPr>
                <w:rFonts w:ascii="Calibri" w:hAnsi="Calibri" w:cs="Calibri"/>
                <w:bCs/>
                <w:sz w:val="18"/>
                <w:szCs w:val="18"/>
              </w:rPr>
            </w:pPr>
            <w:r w:rsidRPr="000C0EDE">
              <w:rPr>
                <w:rFonts w:ascii="Calibri" w:hAnsi="Calibri" w:cs="Calibri"/>
                <w:bCs/>
                <w:sz w:val="18"/>
                <w:szCs w:val="18"/>
              </w:rPr>
              <w:t>By late 2020, core government functions will be strengthened and Libyan institutions and Civil Society, at all levels, will be better able to respond to the needs of the people (Libyans, migrants and refugees) through transparent, inclusive gender sensitive decision-making processes abiding by the democratic principles of division of power and rule of law</w:t>
            </w:r>
          </w:p>
        </w:tc>
      </w:tr>
      <w:tr w:rsidR="00251869" w:rsidRPr="00A90DA2" w14:paraId="7B099958" w14:textId="77777777" w:rsidTr="00251869">
        <w:trPr>
          <w:cantSplit/>
          <w:tblHeader/>
        </w:trPr>
        <w:tc>
          <w:tcPr>
            <w:tcW w:w="14647" w:type="dxa"/>
            <w:gridSpan w:val="6"/>
          </w:tcPr>
          <w:p w14:paraId="29CA1F40" w14:textId="77777777" w:rsidR="004848D5" w:rsidRPr="000C0EDE" w:rsidRDefault="004848D5" w:rsidP="00A019A4">
            <w:pPr>
              <w:spacing w:after="0"/>
              <w:contextualSpacing/>
              <w:rPr>
                <w:rFonts w:ascii="Calibri" w:hAnsi="Calibri" w:cs="Calibri"/>
                <w:b/>
                <w:sz w:val="18"/>
                <w:szCs w:val="18"/>
              </w:rPr>
            </w:pPr>
            <w:r w:rsidRPr="000C0EDE">
              <w:rPr>
                <w:rFonts w:ascii="Calibri" w:hAnsi="Calibri" w:cs="Calibri"/>
                <w:b/>
                <w:sz w:val="18"/>
                <w:szCs w:val="18"/>
              </w:rPr>
              <w:t>Outcome indicators as stated in the Country Programme [or Global/Regional] Results and Resources Framework, including baseline and targets:</w:t>
            </w:r>
          </w:p>
          <w:p w14:paraId="0A218116" w14:textId="77777777" w:rsidR="001B5216" w:rsidRPr="000C0EDE" w:rsidRDefault="001B5216" w:rsidP="00A019A4">
            <w:pPr>
              <w:pStyle w:val="ListParagraph"/>
              <w:numPr>
                <w:ilvl w:val="0"/>
                <w:numId w:val="59"/>
              </w:numPr>
              <w:jc w:val="both"/>
              <w:rPr>
                <w:rFonts w:cs="Calibri"/>
                <w:sz w:val="18"/>
                <w:szCs w:val="18"/>
                <w:lang w:val="en-GB"/>
              </w:rPr>
            </w:pPr>
            <w:r w:rsidRPr="000C0EDE">
              <w:rPr>
                <w:rFonts w:cs="Calibri"/>
                <w:sz w:val="18"/>
                <w:szCs w:val="18"/>
                <w:lang w:val="en-GB"/>
              </w:rPr>
              <w:t xml:space="preserve">Space for national reconciliation is created addressing community needs and mutual interests   </w:t>
            </w:r>
          </w:p>
          <w:p w14:paraId="59D7440A" w14:textId="2ADED8B3" w:rsidR="001B5216" w:rsidRPr="00066BF8" w:rsidRDefault="001B5216" w:rsidP="00A019A4">
            <w:pPr>
              <w:pStyle w:val="ListParagraph"/>
              <w:numPr>
                <w:ilvl w:val="0"/>
                <w:numId w:val="59"/>
              </w:numPr>
              <w:jc w:val="both"/>
              <w:rPr>
                <w:rFonts w:cs="Calibri"/>
                <w:bCs/>
                <w:sz w:val="18"/>
                <w:szCs w:val="18"/>
                <w:lang w:val="en-GB"/>
              </w:rPr>
            </w:pPr>
            <w:r w:rsidRPr="000C0EDE">
              <w:rPr>
                <w:rFonts w:cs="Calibri"/>
                <w:bCs/>
                <w:sz w:val="18"/>
                <w:szCs w:val="18"/>
                <w:lang w:val="en-GB"/>
              </w:rPr>
              <w:t xml:space="preserve">Improved local public services and upgraded </w:t>
            </w:r>
            <w:r w:rsidRPr="00066BF8">
              <w:rPr>
                <w:rFonts w:cs="Calibri"/>
                <w:bCs/>
                <w:sz w:val="18"/>
                <w:szCs w:val="18"/>
                <w:lang w:val="en-GB"/>
              </w:rPr>
              <w:t>infrastructure to enhance accessibility and boost resilient local economic development, in targeted regions of the country</w:t>
            </w:r>
            <w:r w:rsidR="00066BF8" w:rsidRPr="00066BF8">
              <w:rPr>
                <w:rFonts w:cs="Calibri"/>
                <w:bCs/>
                <w:sz w:val="18"/>
                <w:szCs w:val="18"/>
                <w:lang w:val="en-GB"/>
              </w:rPr>
              <w:t>,</w:t>
            </w:r>
            <w:r w:rsidR="00066BF8" w:rsidRPr="00066BF8">
              <w:rPr>
                <w:bCs/>
                <w:sz w:val="18"/>
                <w:szCs w:val="18"/>
                <w:lang w:val="en-GB"/>
              </w:rPr>
              <w:t xml:space="preserve"> while also offering an income to vulnerable beneficiaries through cash for work</w:t>
            </w:r>
          </w:p>
          <w:p w14:paraId="4E826280" w14:textId="3E9E4C05" w:rsidR="004848D5" w:rsidRPr="000C0EDE" w:rsidRDefault="001B5216" w:rsidP="00A019A4">
            <w:pPr>
              <w:pStyle w:val="ListParagraph"/>
              <w:numPr>
                <w:ilvl w:val="0"/>
                <w:numId w:val="59"/>
              </w:numPr>
              <w:jc w:val="both"/>
              <w:rPr>
                <w:rFonts w:cs="Calibri"/>
                <w:bCs/>
                <w:sz w:val="18"/>
                <w:szCs w:val="18"/>
                <w:lang w:val="en-GB"/>
              </w:rPr>
            </w:pPr>
            <w:r w:rsidRPr="00066BF8">
              <w:rPr>
                <w:rFonts w:cs="Calibri"/>
                <w:sz w:val="18"/>
                <w:szCs w:val="18"/>
              </w:rPr>
              <w:t>Local economic recovery/development supported</w:t>
            </w:r>
          </w:p>
        </w:tc>
      </w:tr>
      <w:tr w:rsidR="00251869" w:rsidRPr="00A90DA2" w14:paraId="2E269B74" w14:textId="77777777" w:rsidTr="00251869">
        <w:trPr>
          <w:cantSplit/>
          <w:tblHeader/>
        </w:trPr>
        <w:tc>
          <w:tcPr>
            <w:tcW w:w="14647" w:type="dxa"/>
            <w:gridSpan w:val="6"/>
          </w:tcPr>
          <w:p w14:paraId="632DC138" w14:textId="77777777" w:rsidR="00554D50" w:rsidRPr="000C0EDE" w:rsidRDefault="004848D5" w:rsidP="00A019A4">
            <w:pPr>
              <w:spacing w:after="0"/>
              <w:contextualSpacing/>
              <w:rPr>
                <w:rFonts w:ascii="Calibri" w:hAnsi="Calibri" w:cs="Calibri"/>
                <w:b/>
                <w:sz w:val="18"/>
                <w:szCs w:val="18"/>
              </w:rPr>
            </w:pPr>
            <w:r w:rsidRPr="000C0EDE">
              <w:rPr>
                <w:rFonts w:ascii="Calibri" w:hAnsi="Calibri" w:cs="Calibri"/>
                <w:b/>
                <w:sz w:val="18"/>
                <w:szCs w:val="18"/>
              </w:rPr>
              <w:t>Applicable Output(s) from the UNDP Strategic Plan:</w:t>
            </w:r>
          </w:p>
          <w:p w14:paraId="6D5A5AA8" w14:textId="77777777" w:rsidR="001B5216" w:rsidRPr="000C0EDE" w:rsidRDefault="001B5216" w:rsidP="00A019A4">
            <w:pPr>
              <w:pStyle w:val="ListParagraph"/>
              <w:numPr>
                <w:ilvl w:val="0"/>
                <w:numId w:val="59"/>
              </w:numPr>
              <w:rPr>
                <w:rFonts w:cs="Calibri"/>
                <w:sz w:val="18"/>
                <w:szCs w:val="18"/>
                <w:lang w:val="en-GB" w:eastAsia="x-none"/>
              </w:rPr>
            </w:pPr>
            <w:r w:rsidRPr="000C0EDE">
              <w:rPr>
                <w:rFonts w:cs="Calibri"/>
                <w:sz w:val="18"/>
                <w:szCs w:val="18"/>
                <w:lang w:val="en-GB" w:eastAsia="x-none"/>
              </w:rPr>
              <w:t>Keeping people out of poverty</w:t>
            </w:r>
          </w:p>
          <w:p w14:paraId="3E54CCA7" w14:textId="77777777" w:rsidR="001B5216" w:rsidRPr="000C0EDE" w:rsidRDefault="001B5216" w:rsidP="00A019A4">
            <w:pPr>
              <w:pStyle w:val="ListParagraph"/>
              <w:numPr>
                <w:ilvl w:val="0"/>
                <w:numId w:val="59"/>
              </w:numPr>
              <w:rPr>
                <w:rFonts w:cs="Calibri"/>
                <w:bCs/>
                <w:iCs/>
                <w:sz w:val="18"/>
                <w:szCs w:val="18"/>
                <w:lang w:val="en-GB" w:eastAsia="x-none"/>
              </w:rPr>
            </w:pPr>
            <w:r w:rsidRPr="000C0EDE">
              <w:rPr>
                <w:rFonts w:cs="Calibri"/>
                <w:bCs/>
                <w:iCs/>
                <w:sz w:val="18"/>
                <w:szCs w:val="18"/>
                <w:lang w:val="en-GB" w:eastAsia="x-none"/>
              </w:rPr>
              <w:t>Enhance national prevention and recovery capacities for resilient societies.</w:t>
            </w:r>
          </w:p>
          <w:p w14:paraId="3A4CC4CC" w14:textId="370E211C" w:rsidR="001B5216" w:rsidRPr="000C0EDE" w:rsidRDefault="001B5216" w:rsidP="00A019A4">
            <w:pPr>
              <w:pStyle w:val="ListParagraph"/>
              <w:numPr>
                <w:ilvl w:val="0"/>
                <w:numId w:val="59"/>
              </w:numPr>
              <w:rPr>
                <w:rFonts w:cs="Calibri"/>
                <w:bCs/>
                <w:iCs/>
                <w:sz w:val="18"/>
                <w:szCs w:val="18"/>
                <w:lang w:val="en-GB" w:eastAsia="x-none"/>
              </w:rPr>
            </w:pPr>
            <w:r w:rsidRPr="000C0EDE">
              <w:rPr>
                <w:rFonts w:cs="Calibri"/>
                <w:bCs/>
                <w:iCs/>
                <w:sz w:val="18"/>
                <w:szCs w:val="18"/>
                <w:lang w:val="en-GB" w:eastAsia="x-none"/>
              </w:rPr>
              <w:t>Strengthen gender equality and the empowerment of women and girls.</w:t>
            </w:r>
          </w:p>
        </w:tc>
      </w:tr>
      <w:tr w:rsidR="00251869" w:rsidRPr="00A90DA2" w14:paraId="530AB83A" w14:textId="77777777" w:rsidTr="00251869">
        <w:trPr>
          <w:cantSplit/>
          <w:tblHeader/>
        </w:trPr>
        <w:tc>
          <w:tcPr>
            <w:tcW w:w="14647" w:type="dxa"/>
            <w:gridSpan w:val="6"/>
            <w:tcBorders>
              <w:bottom w:val="single" w:sz="4" w:space="0" w:color="auto"/>
            </w:tcBorders>
          </w:tcPr>
          <w:p w14:paraId="1A2686B6" w14:textId="3E109815" w:rsidR="004848D5" w:rsidRPr="000C0EDE" w:rsidRDefault="004848D5" w:rsidP="00A019A4">
            <w:pPr>
              <w:spacing w:after="0"/>
              <w:contextualSpacing/>
              <w:rPr>
                <w:rFonts w:ascii="Calibri" w:hAnsi="Calibri" w:cs="Calibri"/>
                <w:b/>
                <w:sz w:val="18"/>
                <w:szCs w:val="18"/>
              </w:rPr>
            </w:pPr>
            <w:r w:rsidRPr="000C0EDE">
              <w:rPr>
                <w:rFonts w:ascii="Calibri" w:hAnsi="Calibri" w:cs="Calibri"/>
                <w:b/>
                <w:sz w:val="18"/>
                <w:szCs w:val="18"/>
              </w:rPr>
              <w:t>Project title and Atlas Project Number:</w:t>
            </w:r>
            <w:r w:rsidR="00554D50" w:rsidRPr="000C0EDE">
              <w:rPr>
                <w:rFonts w:ascii="Calibri" w:hAnsi="Calibri" w:cs="Calibri"/>
                <w:b/>
                <w:sz w:val="18"/>
                <w:szCs w:val="18"/>
              </w:rPr>
              <w:t xml:space="preserve"> </w:t>
            </w:r>
            <w:r w:rsidR="00A019A4" w:rsidRPr="000C0EDE">
              <w:rPr>
                <w:rFonts w:ascii="Calibri" w:hAnsi="Calibri" w:cs="Calibri"/>
                <w:sz w:val="18"/>
                <w:szCs w:val="18"/>
              </w:rPr>
              <w:t>Stabilization to Recovery Transition (START) in LIBYA</w:t>
            </w:r>
          </w:p>
        </w:tc>
      </w:tr>
      <w:tr w:rsidR="00251869" w:rsidRPr="00A90DA2" w14:paraId="2F1FC9CE" w14:textId="77777777" w:rsidTr="00251869">
        <w:trPr>
          <w:trHeight w:val="575"/>
          <w:tblHeader/>
        </w:trPr>
        <w:tc>
          <w:tcPr>
            <w:tcW w:w="2677" w:type="dxa"/>
            <w:shd w:val="clear" w:color="auto" w:fill="FFFF99"/>
            <w:vAlign w:val="center"/>
          </w:tcPr>
          <w:p w14:paraId="5D4A672E" w14:textId="4110D27D" w:rsidR="00FF778C" w:rsidRPr="000C0EDE" w:rsidRDefault="00FF778C" w:rsidP="00FF778C">
            <w:pPr>
              <w:spacing w:after="0"/>
              <w:contextualSpacing/>
              <w:jc w:val="center"/>
              <w:rPr>
                <w:rFonts w:ascii="Calibri" w:hAnsi="Calibri" w:cs="Calibri"/>
                <w:b/>
                <w:sz w:val="18"/>
                <w:szCs w:val="18"/>
              </w:rPr>
            </w:pPr>
            <w:r w:rsidRPr="000C0EDE">
              <w:rPr>
                <w:rFonts w:ascii="Calibri" w:hAnsi="Calibri" w:cs="Calibri"/>
                <w:b/>
                <w:sz w:val="18"/>
                <w:szCs w:val="18"/>
              </w:rPr>
              <w:t>EXPECTED OUTPUTS</w:t>
            </w:r>
          </w:p>
        </w:tc>
        <w:tc>
          <w:tcPr>
            <w:tcW w:w="4410" w:type="dxa"/>
            <w:shd w:val="clear" w:color="auto" w:fill="FFFF99"/>
            <w:vAlign w:val="center"/>
          </w:tcPr>
          <w:p w14:paraId="0A652EF3" w14:textId="77777777" w:rsidR="00FF778C" w:rsidRPr="000C0EDE" w:rsidRDefault="00FF778C" w:rsidP="00FF778C">
            <w:pPr>
              <w:spacing w:after="0"/>
              <w:contextualSpacing/>
              <w:jc w:val="center"/>
              <w:rPr>
                <w:rFonts w:ascii="Calibri" w:hAnsi="Calibri" w:cs="Calibri"/>
                <w:b/>
                <w:sz w:val="18"/>
                <w:szCs w:val="18"/>
              </w:rPr>
            </w:pPr>
            <w:r w:rsidRPr="000C0EDE">
              <w:rPr>
                <w:rFonts w:ascii="Calibri" w:hAnsi="Calibri" w:cs="Calibri"/>
                <w:b/>
                <w:sz w:val="18"/>
                <w:szCs w:val="18"/>
              </w:rPr>
              <w:t>OUTPUT INDICATORS</w:t>
            </w:r>
          </w:p>
        </w:tc>
        <w:tc>
          <w:tcPr>
            <w:tcW w:w="2250" w:type="dxa"/>
            <w:shd w:val="clear" w:color="auto" w:fill="FFFF99"/>
            <w:vAlign w:val="center"/>
          </w:tcPr>
          <w:p w14:paraId="66C6CE95" w14:textId="77777777" w:rsidR="00FF778C" w:rsidRPr="000C0EDE" w:rsidRDefault="00FF778C" w:rsidP="00FF778C">
            <w:pPr>
              <w:spacing w:after="0"/>
              <w:contextualSpacing/>
              <w:jc w:val="center"/>
              <w:rPr>
                <w:rFonts w:ascii="Calibri" w:hAnsi="Calibri" w:cs="Calibri"/>
                <w:b/>
                <w:sz w:val="18"/>
                <w:szCs w:val="18"/>
              </w:rPr>
            </w:pPr>
            <w:r w:rsidRPr="000C0EDE">
              <w:rPr>
                <w:rFonts w:ascii="Calibri" w:hAnsi="Calibri" w:cs="Calibri"/>
                <w:b/>
                <w:sz w:val="18"/>
                <w:szCs w:val="18"/>
              </w:rPr>
              <w:t>DATA SOURCE</w:t>
            </w:r>
          </w:p>
        </w:tc>
        <w:tc>
          <w:tcPr>
            <w:tcW w:w="990" w:type="dxa"/>
            <w:shd w:val="clear" w:color="auto" w:fill="FFFF99"/>
            <w:vAlign w:val="center"/>
          </w:tcPr>
          <w:p w14:paraId="73F00DB5" w14:textId="3D67DE77" w:rsidR="00FF778C" w:rsidRPr="000C0EDE" w:rsidRDefault="00FF778C" w:rsidP="00FF778C">
            <w:pPr>
              <w:spacing w:after="0"/>
              <w:contextualSpacing/>
              <w:jc w:val="center"/>
              <w:rPr>
                <w:rFonts w:ascii="Calibri" w:hAnsi="Calibri" w:cs="Calibri"/>
                <w:b/>
                <w:sz w:val="18"/>
                <w:szCs w:val="18"/>
              </w:rPr>
            </w:pPr>
            <w:r w:rsidRPr="000C0EDE">
              <w:rPr>
                <w:rFonts w:ascii="Calibri" w:hAnsi="Calibri" w:cs="Calibri"/>
                <w:b/>
                <w:sz w:val="18"/>
                <w:szCs w:val="18"/>
              </w:rPr>
              <w:t>BASELINE</w:t>
            </w:r>
            <w:r>
              <w:rPr>
                <w:rFonts w:ascii="Calibri" w:hAnsi="Calibri" w:cs="Calibri"/>
                <w:b/>
                <w:sz w:val="18"/>
                <w:szCs w:val="18"/>
              </w:rPr>
              <w:t xml:space="preserve"> VALUE</w:t>
            </w:r>
          </w:p>
        </w:tc>
        <w:tc>
          <w:tcPr>
            <w:tcW w:w="1980" w:type="dxa"/>
            <w:shd w:val="clear" w:color="auto" w:fill="FFFF99"/>
            <w:vAlign w:val="center"/>
          </w:tcPr>
          <w:p w14:paraId="5B4AC1F4" w14:textId="77777777" w:rsidR="00FF778C" w:rsidRPr="000C0EDE" w:rsidRDefault="00FF778C" w:rsidP="00FF778C">
            <w:pPr>
              <w:pStyle w:val="Heading2"/>
              <w:spacing w:after="0"/>
              <w:ind w:left="0"/>
              <w:contextualSpacing/>
              <w:jc w:val="center"/>
              <w:rPr>
                <w:rFonts w:ascii="Calibri" w:hAnsi="Calibri" w:cs="Calibri"/>
                <w:sz w:val="18"/>
                <w:szCs w:val="18"/>
              </w:rPr>
            </w:pPr>
            <w:r w:rsidRPr="000C0EDE">
              <w:rPr>
                <w:rFonts w:ascii="Calibri" w:hAnsi="Calibri" w:cs="Calibri"/>
                <w:sz w:val="18"/>
                <w:szCs w:val="18"/>
              </w:rPr>
              <w:t>TARGETS (by frequency of data collection)</w:t>
            </w:r>
          </w:p>
        </w:tc>
        <w:tc>
          <w:tcPr>
            <w:tcW w:w="2340" w:type="dxa"/>
            <w:shd w:val="clear" w:color="auto" w:fill="FFFF99"/>
            <w:vAlign w:val="center"/>
          </w:tcPr>
          <w:p w14:paraId="5DFF8861" w14:textId="77777777" w:rsidR="00FF778C" w:rsidRPr="000C0EDE" w:rsidRDefault="00FF778C" w:rsidP="00FF778C">
            <w:pPr>
              <w:pStyle w:val="Heading2"/>
              <w:spacing w:after="0"/>
              <w:ind w:left="0"/>
              <w:contextualSpacing/>
              <w:jc w:val="center"/>
              <w:rPr>
                <w:rFonts w:ascii="Calibri" w:hAnsi="Calibri" w:cs="Calibri"/>
                <w:sz w:val="18"/>
                <w:szCs w:val="18"/>
              </w:rPr>
            </w:pPr>
            <w:r w:rsidRPr="000C0EDE">
              <w:rPr>
                <w:rFonts w:ascii="Calibri" w:hAnsi="Calibri" w:cs="Calibri"/>
                <w:sz w:val="18"/>
                <w:szCs w:val="18"/>
              </w:rPr>
              <w:t>DATA COLLECTION METHODS &amp; RISKS</w:t>
            </w:r>
          </w:p>
        </w:tc>
      </w:tr>
      <w:tr w:rsidR="00251869" w:rsidRPr="00A90DA2" w14:paraId="24B20032" w14:textId="77777777" w:rsidTr="00251869">
        <w:trPr>
          <w:trHeight w:val="404"/>
          <w:tblHeader/>
        </w:trPr>
        <w:tc>
          <w:tcPr>
            <w:tcW w:w="2677" w:type="dxa"/>
            <w:vMerge w:val="restart"/>
            <w:vAlign w:val="center"/>
          </w:tcPr>
          <w:p w14:paraId="757BC40E" w14:textId="281D38B0" w:rsidR="00F05DF1" w:rsidRDefault="00F05DF1" w:rsidP="00251869">
            <w:pPr>
              <w:spacing w:after="0"/>
              <w:contextualSpacing/>
              <w:jc w:val="left"/>
              <w:rPr>
                <w:rFonts w:ascii="Calibri" w:hAnsi="Calibri"/>
                <w:b/>
                <w:sz w:val="20"/>
                <w:szCs w:val="20"/>
              </w:rPr>
            </w:pPr>
            <w:r w:rsidRPr="00EA37E8">
              <w:rPr>
                <w:rFonts w:ascii="Calibri" w:hAnsi="Calibri" w:cstheme="majorBidi"/>
                <w:b/>
                <w:bCs/>
                <w:sz w:val="20"/>
                <w:szCs w:val="20"/>
              </w:rPr>
              <w:t>Output 1:</w:t>
            </w:r>
          </w:p>
          <w:p w14:paraId="3E14AEBC" w14:textId="025E44A3" w:rsidR="00F05DF1" w:rsidRPr="000C0EDE" w:rsidRDefault="00F05DF1" w:rsidP="00251869">
            <w:pPr>
              <w:spacing w:after="0"/>
              <w:ind w:right="-107"/>
              <w:contextualSpacing/>
              <w:jc w:val="left"/>
              <w:rPr>
                <w:rFonts w:ascii="Calibri" w:hAnsi="Calibri" w:cstheme="majorBidi"/>
                <w:bCs/>
                <w:sz w:val="20"/>
                <w:szCs w:val="20"/>
              </w:rPr>
            </w:pPr>
            <w:r w:rsidRPr="00EA37E8">
              <w:rPr>
                <w:rFonts w:ascii="Calibri" w:hAnsi="Calibri"/>
                <w:sz w:val="20"/>
                <w:szCs w:val="20"/>
              </w:rPr>
              <w:t>T</w:t>
            </w:r>
            <w:r w:rsidRPr="00EA37E8">
              <w:rPr>
                <w:rFonts w:ascii="Calibri" w:hAnsi="Calibri" w:cstheme="minorHAnsi"/>
                <w:sz w:val="20"/>
                <w:szCs w:val="20"/>
              </w:rPr>
              <w:t>arget populations benefit from livelihood opportunities in income generation.</w:t>
            </w:r>
          </w:p>
        </w:tc>
        <w:tc>
          <w:tcPr>
            <w:tcW w:w="4410" w:type="dxa"/>
            <w:vAlign w:val="center"/>
          </w:tcPr>
          <w:p w14:paraId="3A8034B8" w14:textId="0F6CF6B4" w:rsidR="00F05DF1" w:rsidRPr="00010736" w:rsidDel="00A84123" w:rsidRDefault="00F05DF1" w:rsidP="00251869">
            <w:pPr>
              <w:snapToGrid w:val="0"/>
              <w:spacing w:after="200" w:line="276" w:lineRule="auto"/>
              <w:contextualSpacing/>
              <w:jc w:val="left"/>
              <w:rPr>
                <w:rFonts w:ascii="Calibri" w:hAnsi="Calibri" w:cs="Calibri"/>
                <w:bCs/>
                <w:i/>
                <w:sz w:val="18"/>
                <w:szCs w:val="18"/>
              </w:rPr>
            </w:pPr>
            <w:r w:rsidRPr="000C0EDE">
              <w:rPr>
                <w:rFonts w:ascii="Calibri" w:hAnsi="Calibri" w:cs="Calibri"/>
                <w:b/>
                <w:i/>
                <w:sz w:val="18"/>
                <w:szCs w:val="18"/>
              </w:rPr>
              <w:t>1.1</w:t>
            </w:r>
            <w:r>
              <w:rPr>
                <w:rFonts w:ascii="Calibri" w:hAnsi="Calibri" w:cs="Calibri"/>
                <w:b/>
                <w:i/>
                <w:sz w:val="18"/>
                <w:szCs w:val="18"/>
              </w:rPr>
              <w:t xml:space="preserve"> </w:t>
            </w:r>
            <w:r>
              <w:rPr>
                <w:rFonts w:ascii="Calibri" w:hAnsi="Calibri" w:cs="Calibri"/>
                <w:bCs/>
                <w:i/>
                <w:sz w:val="18"/>
                <w:szCs w:val="18"/>
              </w:rPr>
              <w:t>Assessment conducted on livelihoods and skills needs</w:t>
            </w:r>
          </w:p>
        </w:tc>
        <w:tc>
          <w:tcPr>
            <w:tcW w:w="2250" w:type="dxa"/>
            <w:vAlign w:val="center"/>
          </w:tcPr>
          <w:p w14:paraId="63734930" w14:textId="54BF7317" w:rsidR="00F05DF1" w:rsidRPr="000C0EDE" w:rsidDel="00A84123" w:rsidRDefault="00F05DF1" w:rsidP="00251869">
            <w:pPr>
              <w:spacing w:after="0"/>
              <w:contextualSpacing/>
              <w:jc w:val="left"/>
              <w:rPr>
                <w:rFonts w:ascii="Calibri" w:hAnsi="Calibri" w:cs="Calibri"/>
                <w:i/>
                <w:sz w:val="18"/>
                <w:szCs w:val="18"/>
              </w:rPr>
            </w:pPr>
            <w:r>
              <w:rPr>
                <w:rFonts w:ascii="Calibri" w:hAnsi="Calibri" w:cs="Calibri"/>
                <w:i/>
                <w:sz w:val="18"/>
                <w:szCs w:val="18"/>
              </w:rPr>
              <w:t>Assessment report product</w:t>
            </w:r>
          </w:p>
        </w:tc>
        <w:tc>
          <w:tcPr>
            <w:tcW w:w="990" w:type="dxa"/>
            <w:shd w:val="clear" w:color="auto" w:fill="auto"/>
            <w:vAlign w:val="center"/>
          </w:tcPr>
          <w:p w14:paraId="17FFBC36" w14:textId="71A2FC20" w:rsidR="00F05DF1" w:rsidRPr="000C0EDE" w:rsidDel="00BD7C58" w:rsidRDefault="00F05DF1" w:rsidP="00251869">
            <w:pPr>
              <w:pStyle w:val="Header"/>
              <w:tabs>
                <w:tab w:val="clear" w:pos="8306"/>
              </w:tabs>
              <w:spacing w:after="0"/>
              <w:contextualSpacing/>
              <w:jc w:val="left"/>
              <w:rPr>
                <w:rFonts w:ascii="Calibri" w:hAnsi="Calibri" w:cs="Calibri"/>
                <w:sz w:val="18"/>
                <w:szCs w:val="18"/>
              </w:rPr>
            </w:pPr>
            <w:r w:rsidRPr="000C0EDE">
              <w:rPr>
                <w:rFonts w:ascii="Calibri" w:hAnsi="Calibri" w:cs="Calibri"/>
                <w:sz w:val="18"/>
                <w:szCs w:val="18"/>
              </w:rPr>
              <w:t>0</w:t>
            </w:r>
          </w:p>
        </w:tc>
        <w:tc>
          <w:tcPr>
            <w:tcW w:w="1980" w:type="dxa"/>
            <w:vAlign w:val="center"/>
          </w:tcPr>
          <w:p w14:paraId="1C5E0860" w14:textId="53AE0D65" w:rsidR="00F05DF1" w:rsidRPr="000C0EDE" w:rsidDel="00BD7C58" w:rsidRDefault="00F05DF1" w:rsidP="00251869">
            <w:pPr>
              <w:spacing w:after="0"/>
              <w:contextualSpacing/>
              <w:jc w:val="left"/>
              <w:rPr>
                <w:rFonts w:ascii="Calibri" w:hAnsi="Calibri" w:cs="Calibri"/>
                <w:i/>
                <w:sz w:val="18"/>
                <w:szCs w:val="18"/>
              </w:rPr>
            </w:pPr>
            <w:r>
              <w:rPr>
                <w:rFonts w:ascii="Calibri" w:hAnsi="Calibri" w:cs="Calibri"/>
                <w:i/>
                <w:sz w:val="18"/>
                <w:szCs w:val="18"/>
              </w:rPr>
              <w:t>1 assessment</w:t>
            </w:r>
          </w:p>
        </w:tc>
        <w:tc>
          <w:tcPr>
            <w:tcW w:w="2340" w:type="dxa"/>
            <w:shd w:val="clear" w:color="auto" w:fill="auto"/>
            <w:vAlign w:val="center"/>
          </w:tcPr>
          <w:p w14:paraId="5E740A0A" w14:textId="145B25E2" w:rsidR="00F05DF1" w:rsidRPr="000C0EDE" w:rsidRDefault="00920D29" w:rsidP="00251869">
            <w:pPr>
              <w:spacing w:after="0"/>
              <w:contextualSpacing/>
              <w:jc w:val="left"/>
              <w:rPr>
                <w:rFonts w:ascii="Calibri" w:hAnsi="Calibri" w:cs="Calibri"/>
                <w:i/>
                <w:sz w:val="18"/>
                <w:szCs w:val="18"/>
              </w:rPr>
            </w:pPr>
            <w:r>
              <w:rPr>
                <w:rFonts w:ascii="Calibri" w:hAnsi="Calibri" w:cs="Calibri"/>
                <w:i/>
                <w:sz w:val="18"/>
                <w:szCs w:val="18"/>
              </w:rPr>
              <w:t>Product</w:t>
            </w:r>
          </w:p>
        </w:tc>
      </w:tr>
      <w:tr w:rsidR="006B368B" w:rsidRPr="00A90DA2" w14:paraId="2F1FB2A7" w14:textId="77777777" w:rsidTr="00251869">
        <w:trPr>
          <w:trHeight w:val="404"/>
          <w:tblHeader/>
        </w:trPr>
        <w:tc>
          <w:tcPr>
            <w:tcW w:w="2677" w:type="dxa"/>
            <w:vMerge/>
            <w:vAlign w:val="center"/>
          </w:tcPr>
          <w:p w14:paraId="7009B15A" w14:textId="77777777" w:rsidR="006B368B" w:rsidRPr="00EA37E8" w:rsidRDefault="006B368B" w:rsidP="00251869">
            <w:pPr>
              <w:spacing w:after="0"/>
              <w:contextualSpacing/>
              <w:jc w:val="left"/>
              <w:rPr>
                <w:rFonts w:ascii="Calibri" w:hAnsi="Calibri" w:cstheme="majorBidi"/>
                <w:b/>
                <w:bCs/>
                <w:sz w:val="20"/>
                <w:szCs w:val="20"/>
              </w:rPr>
            </w:pPr>
          </w:p>
        </w:tc>
        <w:tc>
          <w:tcPr>
            <w:tcW w:w="4410" w:type="dxa"/>
            <w:vAlign w:val="center"/>
          </w:tcPr>
          <w:p w14:paraId="3EE5CD1F" w14:textId="693FD618" w:rsidR="006B368B" w:rsidRPr="000C0EDE" w:rsidRDefault="006B368B" w:rsidP="00251869">
            <w:pPr>
              <w:snapToGrid w:val="0"/>
              <w:spacing w:after="200" w:line="276" w:lineRule="auto"/>
              <w:contextualSpacing/>
              <w:jc w:val="left"/>
              <w:rPr>
                <w:rFonts w:ascii="Calibri" w:hAnsi="Calibri" w:cs="Calibri"/>
                <w:b/>
                <w:i/>
                <w:sz w:val="18"/>
                <w:szCs w:val="18"/>
              </w:rPr>
            </w:pPr>
            <w:r>
              <w:rPr>
                <w:rFonts w:ascii="Calibri" w:hAnsi="Calibri" w:cs="Calibri"/>
                <w:b/>
                <w:i/>
                <w:sz w:val="18"/>
                <w:szCs w:val="18"/>
              </w:rPr>
              <w:t xml:space="preserve">1.2 </w:t>
            </w:r>
            <w:r w:rsidR="00281441">
              <w:rPr>
                <w:rFonts w:ascii="Calibri" w:hAnsi="Calibri" w:cs="Calibri"/>
                <w:b/>
                <w:i/>
                <w:sz w:val="18"/>
                <w:szCs w:val="18"/>
              </w:rPr>
              <w:t xml:space="preserve">Number </w:t>
            </w:r>
            <w:r w:rsidR="001B5750" w:rsidRPr="001B5750">
              <w:rPr>
                <w:rFonts w:ascii="Calibri" w:hAnsi="Calibri" w:cs="Calibri"/>
                <w:b/>
                <w:i/>
                <w:sz w:val="18"/>
                <w:szCs w:val="18"/>
              </w:rPr>
              <w:t>of men and women with increased knowledge on starting and improving businesses and occupational skill</w:t>
            </w:r>
            <w:r w:rsidR="00FF7D97">
              <w:rPr>
                <w:rFonts w:ascii="Calibri" w:hAnsi="Calibri" w:cs="Calibri"/>
                <w:b/>
                <w:i/>
                <w:sz w:val="18"/>
                <w:szCs w:val="18"/>
              </w:rPr>
              <w:t xml:space="preserve"> (disaggregated by sex)</w:t>
            </w:r>
          </w:p>
        </w:tc>
        <w:tc>
          <w:tcPr>
            <w:tcW w:w="2250" w:type="dxa"/>
            <w:vAlign w:val="center"/>
          </w:tcPr>
          <w:p w14:paraId="10FAE8D2" w14:textId="575F6CF4" w:rsidR="006B368B" w:rsidRDefault="005B0273" w:rsidP="00251869">
            <w:pPr>
              <w:spacing w:after="0"/>
              <w:contextualSpacing/>
              <w:jc w:val="left"/>
              <w:rPr>
                <w:rFonts w:ascii="Calibri" w:hAnsi="Calibri" w:cs="Calibri"/>
                <w:i/>
                <w:sz w:val="18"/>
                <w:szCs w:val="18"/>
              </w:rPr>
            </w:pPr>
            <w:r>
              <w:rPr>
                <w:rFonts w:ascii="Calibri" w:hAnsi="Calibri" w:cs="Calibri"/>
                <w:i/>
                <w:sz w:val="18"/>
                <w:szCs w:val="18"/>
              </w:rPr>
              <w:t>Progress report</w:t>
            </w:r>
          </w:p>
        </w:tc>
        <w:tc>
          <w:tcPr>
            <w:tcW w:w="990" w:type="dxa"/>
            <w:shd w:val="clear" w:color="auto" w:fill="auto"/>
            <w:vAlign w:val="center"/>
          </w:tcPr>
          <w:p w14:paraId="04C26981" w14:textId="02E3B432" w:rsidR="006B368B" w:rsidRPr="000C0EDE" w:rsidRDefault="005B0273" w:rsidP="00251869">
            <w:pPr>
              <w:pStyle w:val="Header"/>
              <w:tabs>
                <w:tab w:val="clear" w:pos="8306"/>
              </w:tabs>
              <w:spacing w:after="0"/>
              <w:contextualSpacing/>
              <w:jc w:val="left"/>
              <w:rPr>
                <w:rFonts w:ascii="Calibri" w:hAnsi="Calibri" w:cs="Calibri"/>
                <w:sz w:val="18"/>
                <w:szCs w:val="18"/>
              </w:rPr>
            </w:pPr>
            <w:r>
              <w:rPr>
                <w:rFonts w:ascii="Calibri" w:hAnsi="Calibri" w:cs="Calibri"/>
                <w:sz w:val="18"/>
                <w:szCs w:val="18"/>
              </w:rPr>
              <w:t>0</w:t>
            </w:r>
          </w:p>
        </w:tc>
        <w:tc>
          <w:tcPr>
            <w:tcW w:w="1980" w:type="dxa"/>
            <w:vAlign w:val="center"/>
          </w:tcPr>
          <w:p w14:paraId="31562998" w14:textId="30FFDF2F" w:rsidR="006B368B" w:rsidRDefault="00030A2D" w:rsidP="00251869">
            <w:pPr>
              <w:spacing w:after="0"/>
              <w:contextualSpacing/>
              <w:jc w:val="left"/>
              <w:rPr>
                <w:rFonts w:ascii="Calibri" w:hAnsi="Calibri" w:cs="Calibri"/>
                <w:i/>
                <w:sz w:val="18"/>
                <w:szCs w:val="18"/>
              </w:rPr>
            </w:pPr>
            <w:r>
              <w:rPr>
                <w:rFonts w:ascii="Calibri" w:hAnsi="Calibri" w:cs="Calibri"/>
                <w:i/>
                <w:sz w:val="18"/>
                <w:szCs w:val="18"/>
              </w:rPr>
              <w:t>200</w:t>
            </w:r>
          </w:p>
        </w:tc>
        <w:tc>
          <w:tcPr>
            <w:tcW w:w="2340" w:type="dxa"/>
            <w:shd w:val="clear" w:color="auto" w:fill="auto"/>
            <w:vAlign w:val="center"/>
          </w:tcPr>
          <w:p w14:paraId="51867ABE" w14:textId="2383EC2D" w:rsidR="006B368B" w:rsidRDefault="002A2657" w:rsidP="00251869">
            <w:pPr>
              <w:spacing w:after="0"/>
              <w:contextualSpacing/>
              <w:jc w:val="left"/>
              <w:rPr>
                <w:rFonts w:ascii="Calibri" w:hAnsi="Calibri" w:cs="Calibri"/>
                <w:i/>
                <w:sz w:val="18"/>
                <w:szCs w:val="18"/>
              </w:rPr>
            </w:pPr>
            <w:r>
              <w:rPr>
                <w:rFonts w:ascii="Calibri" w:hAnsi="Calibri" w:cs="Calibri"/>
                <w:i/>
                <w:sz w:val="18"/>
                <w:szCs w:val="18"/>
              </w:rPr>
              <w:t xml:space="preserve">Project records, monitoring visits, </w:t>
            </w:r>
            <w:r w:rsidR="00DF6EE1">
              <w:rPr>
                <w:rFonts w:ascii="Calibri" w:hAnsi="Calibri" w:cs="Calibri"/>
                <w:i/>
                <w:sz w:val="18"/>
                <w:szCs w:val="18"/>
              </w:rPr>
              <w:t xml:space="preserve">reports, </w:t>
            </w:r>
            <w:r w:rsidR="005C4B9E">
              <w:rPr>
                <w:rFonts w:ascii="Calibri" w:hAnsi="Calibri" w:cs="Calibri"/>
                <w:i/>
                <w:sz w:val="18"/>
                <w:szCs w:val="18"/>
              </w:rPr>
              <w:t>feedback from the beneficiaries</w:t>
            </w:r>
          </w:p>
        </w:tc>
      </w:tr>
      <w:tr w:rsidR="00251869" w:rsidRPr="00A90DA2" w14:paraId="37E77B20" w14:textId="77777777" w:rsidTr="00251869">
        <w:trPr>
          <w:trHeight w:val="260"/>
          <w:tblHeader/>
        </w:trPr>
        <w:tc>
          <w:tcPr>
            <w:tcW w:w="2677" w:type="dxa"/>
            <w:vMerge/>
            <w:vAlign w:val="center"/>
          </w:tcPr>
          <w:p w14:paraId="5BBE3A7B" w14:textId="77777777" w:rsidR="00F05DF1" w:rsidRPr="000C0EDE" w:rsidRDefault="00F05DF1" w:rsidP="00251869">
            <w:pPr>
              <w:spacing w:after="0"/>
              <w:contextualSpacing/>
              <w:jc w:val="left"/>
              <w:rPr>
                <w:rFonts w:ascii="Calibri" w:hAnsi="Calibri" w:cs="Calibri"/>
                <w:i/>
                <w:sz w:val="18"/>
                <w:szCs w:val="18"/>
              </w:rPr>
            </w:pPr>
          </w:p>
        </w:tc>
        <w:tc>
          <w:tcPr>
            <w:tcW w:w="4410" w:type="dxa"/>
            <w:vAlign w:val="center"/>
          </w:tcPr>
          <w:p w14:paraId="2BD662FE" w14:textId="53EE61EF" w:rsidR="00F05DF1" w:rsidRPr="00010736" w:rsidRDefault="00F05DF1" w:rsidP="00251869">
            <w:pPr>
              <w:jc w:val="left"/>
              <w:rPr>
                <w:rFonts w:ascii="Calibri" w:hAnsi="Calibri" w:cs="Arial"/>
                <w:sz w:val="20"/>
                <w:szCs w:val="20"/>
              </w:rPr>
            </w:pPr>
            <w:r w:rsidRPr="000C0EDE">
              <w:rPr>
                <w:rFonts w:ascii="Calibri" w:hAnsi="Calibri" w:cs="Calibri"/>
                <w:b/>
                <w:i/>
                <w:sz w:val="18"/>
                <w:szCs w:val="18"/>
              </w:rPr>
              <w:t>1.</w:t>
            </w:r>
            <w:r w:rsidR="00F97AAC">
              <w:rPr>
                <w:rFonts w:ascii="Calibri" w:hAnsi="Calibri" w:cs="Calibri"/>
                <w:b/>
                <w:i/>
                <w:sz w:val="18"/>
                <w:szCs w:val="18"/>
              </w:rPr>
              <w:t>3</w:t>
            </w:r>
            <w:r w:rsidRPr="000C0EDE">
              <w:rPr>
                <w:rFonts w:ascii="Calibri" w:hAnsi="Calibri" w:cs="Calibri"/>
                <w:i/>
                <w:sz w:val="18"/>
                <w:szCs w:val="18"/>
              </w:rPr>
              <w:t xml:space="preserve"> </w:t>
            </w:r>
            <w:r>
              <w:rPr>
                <w:rFonts w:ascii="Calibri" w:hAnsi="Calibri" w:cs="Calibri"/>
                <w:i/>
                <w:sz w:val="18"/>
                <w:szCs w:val="18"/>
              </w:rPr>
              <w:t xml:space="preserve">Number of </w:t>
            </w:r>
            <w:r w:rsidR="00F97AAC" w:rsidRPr="00F97AAC">
              <w:rPr>
                <w:rFonts w:ascii="Calibri" w:hAnsi="Calibri" w:cs="Calibri"/>
                <w:i/>
                <w:sz w:val="18"/>
                <w:szCs w:val="18"/>
              </w:rPr>
              <w:t xml:space="preserve">micro, small and medium-sized businesses which started or expanded their operations </w:t>
            </w:r>
            <w:r w:rsidR="00434602">
              <w:rPr>
                <w:rFonts w:ascii="Calibri" w:hAnsi="Calibri" w:cs="Calibri"/>
                <w:i/>
                <w:sz w:val="18"/>
                <w:szCs w:val="18"/>
              </w:rPr>
              <w:t xml:space="preserve">from grants </w:t>
            </w:r>
            <w:r w:rsidR="00F97AAC" w:rsidRPr="00F97AAC">
              <w:rPr>
                <w:rFonts w:ascii="Calibri" w:hAnsi="Calibri" w:cs="Calibri"/>
                <w:i/>
                <w:sz w:val="18"/>
                <w:szCs w:val="18"/>
              </w:rPr>
              <w:t>(disaggregated by sex of business owner/manager</w:t>
            </w:r>
            <w:r w:rsidR="005B0273">
              <w:rPr>
                <w:rFonts w:ascii="Calibri" w:hAnsi="Calibri" w:cs="Calibri"/>
                <w:i/>
                <w:sz w:val="18"/>
                <w:szCs w:val="18"/>
              </w:rPr>
              <w:t>)</w:t>
            </w:r>
            <w:r w:rsidR="00BB2E66" w:rsidRPr="00BB2E66">
              <w:rPr>
                <w:rFonts w:ascii="Calibri" w:hAnsi="Calibri" w:cs="Calibri"/>
                <w:i/>
                <w:sz w:val="18"/>
                <w:szCs w:val="18"/>
              </w:rPr>
              <w:t xml:space="preserve"> </w:t>
            </w:r>
            <w:r>
              <w:rPr>
                <w:rFonts w:ascii="Calibri" w:hAnsi="Calibri" w:cs="Calibri"/>
                <w:i/>
                <w:sz w:val="18"/>
                <w:szCs w:val="18"/>
              </w:rPr>
              <w:t xml:space="preserve"> </w:t>
            </w:r>
          </w:p>
        </w:tc>
        <w:tc>
          <w:tcPr>
            <w:tcW w:w="2250" w:type="dxa"/>
            <w:vAlign w:val="center"/>
          </w:tcPr>
          <w:p w14:paraId="5AA069BD" w14:textId="0312C9BF" w:rsidR="00F05DF1" w:rsidRPr="000C0EDE" w:rsidRDefault="00F05DF1" w:rsidP="00251869">
            <w:pPr>
              <w:pStyle w:val="Header"/>
              <w:spacing w:after="0"/>
              <w:contextualSpacing/>
              <w:jc w:val="left"/>
              <w:rPr>
                <w:rFonts w:ascii="Calibri" w:hAnsi="Calibri" w:cs="Calibri"/>
                <w:i/>
                <w:sz w:val="18"/>
                <w:szCs w:val="18"/>
              </w:rPr>
            </w:pPr>
            <w:r>
              <w:rPr>
                <w:rFonts w:ascii="Calibri" w:hAnsi="Calibri" w:cs="Calibri"/>
                <w:i/>
                <w:sz w:val="18"/>
                <w:szCs w:val="18"/>
              </w:rPr>
              <w:t>Progress</w:t>
            </w:r>
            <w:r w:rsidRPr="000C0EDE">
              <w:rPr>
                <w:rFonts w:ascii="Calibri" w:hAnsi="Calibri" w:cs="Calibri"/>
                <w:i/>
                <w:sz w:val="18"/>
                <w:szCs w:val="18"/>
              </w:rPr>
              <w:t xml:space="preserve"> repor</w:t>
            </w:r>
            <w:r>
              <w:rPr>
                <w:rFonts w:ascii="Calibri" w:hAnsi="Calibri" w:cs="Calibri"/>
                <w:i/>
                <w:sz w:val="18"/>
                <w:szCs w:val="18"/>
              </w:rPr>
              <w:t>ts</w:t>
            </w:r>
          </w:p>
        </w:tc>
        <w:tc>
          <w:tcPr>
            <w:tcW w:w="990" w:type="dxa"/>
            <w:shd w:val="clear" w:color="auto" w:fill="auto"/>
            <w:vAlign w:val="center"/>
          </w:tcPr>
          <w:p w14:paraId="01371722" w14:textId="35EBAD92" w:rsidR="00F05DF1" w:rsidRPr="000C0EDE" w:rsidRDefault="00F05DF1" w:rsidP="00251869">
            <w:pPr>
              <w:pStyle w:val="Header"/>
              <w:spacing w:after="0"/>
              <w:contextualSpacing/>
              <w:jc w:val="left"/>
              <w:rPr>
                <w:rFonts w:ascii="Calibri" w:hAnsi="Calibri" w:cs="Calibri"/>
                <w:i/>
                <w:sz w:val="18"/>
                <w:szCs w:val="18"/>
              </w:rPr>
            </w:pPr>
            <w:r w:rsidRPr="000C0EDE">
              <w:rPr>
                <w:rFonts w:ascii="Calibri" w:hAnsi="Calibri" w:cs="Calibri"/>
                <w:i/>
                <w:sz w:val="18"/>
                <w:szCs w:val="18"/>
              </w:rPr>
              <w:t>0</w:t>
            </w:r>
          </w:p>
        </w:tc>
        <w:tc>
          <w:tcPr>
            <w:tcW w:w="1980" w:type="dxa"/>
            <w:vAlign w:val="center"/>
          </w:tcPr>
          <w:p w14:paraId="7D3F4651" w14:textId="7AD3D407" w:rsidR="00F05DF1" w:rsidRDefault="00F05DF1" w:rsidP="00251869">
            <w:pPr>
              <w:spacing w:after="0"/>
              <w:contextualSpacing/>
              <w:jc w:val="left"/>
              <w:rPr>
                <w:rFonts w:ascii="Calibri" w:hAnsi="Calibri" w:cs="Calibri"/>
                <w:i/>
                <w:sz w:val="18"/>
                <w:szCs w:val="18"/>
              </w:rPr>
            </w:pPr>
          </w:p>
          <w:p w14:paraId="41159C40" w14:textId="03E826A4" w:rsidR="00277F32" w:rsidRPr="000C0EDE" w:rsidDel="00BD7C58" w:rsidRDefault="00CD57BB" w:rsidP="00251869">
            <w:pPr>
              <w:spacing w:after="0"/>
              <w:contextualSpacing/>
              <w:jc w:val="left"/>
              <w:rPr>
                <w:rFonts w:ascii="Calibri" w:hAnsi="Calibri" w:cs="Calibri"/>
                <w:i/>
                <w:sz w:val="18"/>
                <w:szCs w:val="18"/>
              </w:rPr>
            </w:pPr>
            <w:r>
              <w:rPr>
                <w:rFonts w:ascii="Calibri" w:hAnsi="Calibri" w:cs="Calibri"/>
                <w:i/>
                <w:sz w:val="18"/>
                <w:szCs w:val="18"/>
              </w:rPr>
              <w:t>30</w:t>
            </w:r>
            <w:r w:rsidR="00757E5B">
              <w:rPr>
                <w:rFonts w:ascii="Calibri" w:hAnsi="Calibri" w:cs="Calibri"/>
                <w:i/>
                <w:sz w:val="18"/>
                <w:szCs w:val="18"/>
              </w:rPr>
              <w:t xml:space="preserve"> </w:t>
            </w:r>
          </w:p>
        </w:tc>
        <w:tc>
          <w:tcPr>
            <w:tcW w:w="2340" w:type="dxa"/>
            <w:shd w:val="clear" w:color="auto" w:fill="auto"/>
            <w:vAlign w:val="center"/>
          </w:tcPr>
          <w:p w14:paraId="751814EB" w14:textId="6C9A8230" w:rsidR="00F05DF1" w:rsidRPr="000C0EDE" w:rsidDel="00BD7C58" w:rsidRDefault="00EC4277" w:rsidP="00251869">
            <w:pPr>
              <w:spacing w:after="0"/>
              <w:contextualSpacing/>
              <w:jc w:val="left"/>
              <w:rPr>
                <w:rFonts w:ascii="Calibri" w:hAnsi="Calibri" w:cs="Calibri"/>
                <w:i/>
                <w:sz w:val="18"/>
                <w:szCs w:val="18"/>
              </w:rPr>
            </w:pPr>
            <w:r>
              <w:rPr>
                <w:rFonts w:ascii="Calibri" w:hAnsi="Calibri" w:cs="Calibri"/>
                <w:i/>
                <w:sz w:val="18"/>
                <w:szCs w:val="18"/>
              </w:rPr>
              <w:t>Project record</w:t>
            </w:r>
            <w:r w:rsidR="0006455C">
              <w:rPr>
                <w:rFonts w:ascii="Calibri" w:hAnsi="Calibri" w:cs="Calibri"/>
                <w:i/>
                <w:sz w:val="18"/>
                <w:szCs w:val="18"/>
              </w:rPr>
              <w:t xml:space="preserve">s, monitoring visits, </w:t>
            </w:r>
            <w:r w:rsidR="001A3468">
              <w:rPr>
                <w:rFonts w:ascii="Calibri" w:hAnsi="Calibri" w:cs="Calibri"/>
                <w:i/>
                <w:sz w:val="18"/>
                <w:szCs w:val="18"/>
              </w:rPr>
              <w:t>reports</w:t>
            </w:r>
            <w:r w:rsidR="0006455C">
              <w:rPr>
                <w:rFonts w:ascii="Calibri" w:hAnsi="Calibri" w:cs="Calibri"/>
                <w:i/>
                <w:sz w:val="18"/>
                <w:szCs w:val="18"/>
              </w:rPr>
              <w:t xml:space="preserve"> from the grantees</w:t>
            </w:r>
            <w:r w:rsidR="00421946">
              <w:rPr>
                <w:rFonts w:ascii="Calibri" w:hAnsi="Calibri" w:cs="Calibri"/>
                <w:i/>
                <w:sz w:val="18"/>
                <w:szCs w:val="18"/>
              </w:rPr>
              <w:t xml:space="preserve"> and the Grants Administrator</w:t>
            </w:r>
            <w:r w:rsidR="001A3468">
              <w:rPr>
                <w:rFonts w:ascii="Calibri" w:hAnsi="Calibri" w:cs="Calibri"/>
                <w:i/>
                <w:sz w:val="18"/>
                <w:szCs w:val="18"/>
              </w:rPr>
              <w:t>, feedback from the beneficiaries</w:t>
            </w:r>
          </w:p>
        </w:tc>
      </w:tr>
      <w:tr w:rsidR="004D1282" w:rsidRPr="00A90DA2" w14:paraId="07FEC312" w14:textId="77777777" w:rsidTr="00251869">
        <w:trPr>
          <w:trHeight w:val="260"/>
          <w:tblHeader/>
        </w:trPr>
        <w:tc>
          <w:tcPr>
            <w:tcW w:w="2677" w:type="dxa"/>
            <w:vMerge/>
            <w:vAlign w:val="center"/>
          </w:tcPr>
          <w:p w14:paraId="37722EC3" w14:textId="77777777" w:rsidR="004D1282" w:rsidRPr="000C0EDE" w:rsidRDefault="004D1282" w:rsidP="00251869">
            <w:pPr>
              <w:spacing w:after="0"/>
              <w:contextualSpacing/>
              <w:jc w:val="left"/>
              <w:rPr>
                <w:rFonts w:ascii="Calibri" w:hAnsi="Calibri" w:cs="Calibri"/>
                <w:i/>
                <w:sz w:val="18"/>
                <w:szCs w:val="18"/>
              </w:rPr>
            </w:pPr>
          </w:p>
        </w:tc>
        <w:tc>
          <w:tcPr>
            <w:tcW w:w="4410" w:type="dxa"/>
            <w:vAlign w:val="center"/>
          </w:tcPr>
          <w:p w14:paraId="3278CBE7" w14:textId="1108F8C6" w:rsidR="004D1282" w:rsidRPr="000C0EDE" w:rsidRDefault="004D1282" w:rsidP="00251869">
            <w:pPr>
              <w:jc w:val="left"/>
              <w:rPr>
                <w:rFonts w:ascii="Calibri" w:hAnsi="Calibri" w:cs="Calibri"/>
                <w:b/>
                <w:i/>
                <w:sz w:val="18"/>
                <w:szCs w:val="18"/>
              </w:rPr>
            </w:pPr>
            <w:r>
              <w:rPr>
                <w:rFonts w:ascii="Calibri" w:hAnsi="Calibri" w:cs="Calibri"/>
                <w:b/>
                <w:i/>
                <w:sz w:val="18"/>
                <w:szCs w:val="18"/>
              </w:rPr>
              <w:t>1.</w:t>
            </w:r>
            <w:r w:rsidR="00132A28">
              <w:rPr>
                <w:rFonts w:ascii="Calibri" w:hAnsi="Calibri" w:cs="Calibri"/>
                <w:b/>
                <w:i/>
                <w:sz w:val="18"/>
                <w:szCs w:val="18"/>
              </w:rPr>
              <w:t>4</w:t>
            </w:r>
            <w:r>
              <w:rPr>
                <w:rFonts w:ascii="Calibri" w:hAnsi="Calibri" w:cs="Calibri"/>
                <w:b/>
                <w:i/>
                <w:sz w:val="18"/>
                <w:szCs w:val="18"/>
              </w:rPr>
              <w:t xml:space="preserve"> Number of </w:t>
            </w:r>
            <w:r w:rsidR="00FE0F59">
              <w:rPr>
                <w:rFonts w:ascii="Calibri" w:hAnsi="Calibri" w:cs="Calibri"/>
                <w:b/>
                <w:i/>
                <w:sz w:val="18"/>
                <w:szCs w:val="18"/>
              </w:rPr>
              <w:t xml:space="preserve">new </w:t>
            </w:r>
            <w:r>
              <w:rPr>
                <w:rFonts w:ascii="Calibri" w:hAnsi="Calibri" w:cs="Calibri"/>
                <w:b/>
                <w:i/>
                <w:sz w:val="18"/>
                <w:szCs w:val="18"/>
              </w:rPr>
              <w:t>job</w:t>
            </w:r>
            <w:r w:rsidR="00FE0F59">
              <w:rPr>
                <w:rFonts w:ascii="Calibri" w:hAnsi="Calibri" w:cs="Calibri"/>
                <w:b/>
                <w:i/>
                <w:sz w:val="18"/>
                <w:szCs w:val="18"/>
              </w:rPr>
              <w:t>s</w:t>
            </w:r>
            <w:r>
              <w:rPr>
                <w:rFonts w:ascii="Calibri" w:hAnsi="Calibri" w:cs="Calibri"/>
                <w:b/>
                <w:i/>
                <w:sz w:val="18"/>
                <w:szCs w:val="18"/>
              </w:rPr>
              <w:t xml:space="preserve"> created</w:t>
            </w:r>
            <w:r w:rsidR="00FE0F59">
              <w:rPr>
                <w:rFonts w:ascii="Calibri" w:hAnsi="Calibri" w:cs="Calibri"/>
                <w:b/>
                <w:i/>
                <w:sz w:val="18"/>
                <w:szCs w:val="18"/>
              </w:rPr>
              <w:t xml:space="preserve"> </w:t>
            </w:r>
            <w:r w:rsidR="007F6537">
              <w:rPr>
                <w:rFonts w:ascii="Calibri" w:hAnsi="Calibri" w:cs="Calibri"/>
                <w:b/>
                <w:i/>
                <w:sz w:val="18"/>
                <w:szCs w:val="18"/>
              </w:rPr>
              <w:t>for conflict-affected population,</w:t>
            </w:r>
            <w:r w:rsidR="003C1A80">
              <w:rPr>
                <w:rFonts w:ascii="Calibri" w:hAnsi="Calibri" w:cs="Calibri"/>
                <w:b/>
                <w:i/>
                <w:sz w:val="18"/>
                <w:szCs w:val="18"/>
              </w:rPr>
              <w:t xml:space="preserve"> including</w:t>
            </w:r>
            <w:r w:rsidR="007F6537">
              <w:rPr>
                <w:rFonts w:ascii="Calibri" w:hAnsi="Calibri" w:cs="Calibri"/>
                <w:b/>
                <w:i/>
                <w:sz w:val="18"/>
                <w:szCs w:val="18"/>
              </w:rPr>
              <w:t xml:space="preserve"> IDPs</w:t>
            </w:r>
            <w:r>
              <w:rPr>
                <w:rFonts w:ascii="Calibri" w:hAnsi="Calibri" w:cs="Calibri"/>
                <w:b/>
                <w:i/>
                <w:sz w:val="18"/>
                <w:szCs w:val="18"/>
              </w:rPr>
              <w:t xml:space="preserve"> </w:t>
            </w:r>
            <w:r w:rsidR="00950899">
              <w:rPr>
                <w:rFonts w:ascii="Calibri" w:hAnsi="Calibri" w:cs="Calibri"/>
                <w:b/>
                <w:i/>
                <w:sz w:val="18"/>
                <w:szCs w:val="18"/>
              </w:rPr>
              <w:t>and migrants</w:t>
            </w:r>
            <w:r w:rsidR="008D0D26">
              <w:rPr>
                <w:rFonts w:ascii="Calibri" w:hAnsi="Calibri" w:cs="Calibri"/>
                <w:b/>
                <w:i/>
                <w:sz w:val="18"/>
                <w:szCs w:val="18"/>
              </w:rPr>
              <w:t xml:space="preserve"> </w:t>
            </w:r>
            <w:r w:rsidR="003B6D85">
              <w:rPr>
                <w:rFonts w:ascii="Calibri" w:hAnsi="Calibri" w:cs="Calibri"/>
                <w:b/>
                <w:i/>
                <w:sz w:val="18"/>
                <w:szCs w:val="18"/>
              </w:rPr>
              <w:t>(</w:t>
            </w:r>
            <w:r w:rsidR="0013479E">
              <w:rPr>
                <w:rFonts w:ascii="Calibri" w:hAnsi="Calibri" w:cs="Calibri"/>
                <w:b/>
                <w:i/>
                <w:sz w:val="18"/>
                <w:szCs w:val="18"/>
              </w:rPr>
              <w:t>disag</w:t>
            </w:r>
            <w:r w:rsidR="00EC76AD">
              <w:rPr>
                <w:rFonts w:ascii="Calibri" w:hAnsi="Calibri" w:cs="Calibri"/>
                <w:b/>
                <w:i/>
                <w:sz w:val="18"/>
                <w:szCs w:val="18"/>
              </w:rPr>
              <w:t>g</w:t>
            </w:r>
            <w:r w:rsidR="0013479E">
              <w:rPr>
                <w:rFonts w:ascii="Calibri" w:hAnsi="Calibri" w:cs="Calibri"/>
                <w:b/>
                <w:i/>
                <w:sz w:val="18"/>
                <w:szCs w:val="18"/>
              </w:rPr>
              <w:t xml:space="preserve">regated </w:t>
            </w:r>
            <w:r w:rsidR="00EC76AD">
              <w:rPr>
                <w:rFonts w:ascii="Calibri" w:hAnsi="Calibri" w:cs="Calibri"/>
                <w:b/>
                <w:i/>
                <w:sz w:val="18"/>
                <w:szCs w:val="18"/>
              </w:rPr>
              <w:t>by sex)</w:t>
            </w:r>
          </w:p>
        </w:tc>
        <w:tc>
          <w:tcPr>
            <w:tcW w:w="2250" w:type="dxa"/>
            <w:vAlign w:val="center"/>
          </w:tcPr>
          <w:p w14:paraId="5F332752" w14:textId="51300200" w:rsidR="004D1282" w:rsidRDefault="007F6537" w:rsidP="00251869">
            <w:pPr>
              <w:pStyle w:val="Header"/>
              <w:spacing w:after="0"/>
              <w:contextualSpacing/>
              <w:jc w:val="left"/>
              <w:rPr>
                <w:rFonts w:ascii="Calibri" w:hAnsi="Calibri" w:cs="Calibri"/>
                <w:i/>
                <w:sz w:val="18"/>
                <w:szCs w:val="18"/>
              </w:rPr>
            </w:pPr>
            <w:r>
              <w:rPr>
                <w:rFonts w:ascii="Calibri" w:hAnsi="Calibri" w:cs="Calibri"/>
                <w:i/>
                <w:sz w:val="18"/>
                <w:szCs w:val="18"/>
              </w:rPr>
              <w:t>Progress reports</w:t>
            </w:r>
          </w:p>
        </w:tc>
        <w:tc>
          <w:tcPr>
            <w:tcW w:w="990" w:type="dxa"/>
            <w:shd w:val="clear" w:color="auto" w:fill="auto"/>
            <w:vAlign w:val="center"/>
          </w:tcPr>
          <w:p w14:paraId="48785CCA" w14:textId="39C9AB84" w:rsidR="004D1282" w:rsidRPr="000C0EDE" w:rsidRDefault="007F6537" w:rsidP="00251869">
            <w:pPr>
              <w:pStyle w:val="Header"/>
              <w:spacing w:after="0"/>
              <w:contextualSpacing/>
              <w:jc w:val="left"/>
              <w:rPr>
                <w:rFonts w:ascii="Calibri" w:hAnsi="Calibri" w:cs="Calibri"/>
                <w:i/>
                <w:sz w:val="18"/>
                <w:szCs w:val="18"/>
              </w:rPr>
            </w:pPr>
            <w:r>
              <w:rPr>
                <w:rFonts w:ascii="Calibri" w:hAnsi="Calibri" w:cs="Calibri"/>
                <w:i/>
                <w:sz w:val="18"/>
                <w:szCs w:val="18"/>
              </w:rPr>
              <w:t>0</w:t>
            </w:r>
          </w:p>
        </w:tc>
        <w:tc>
          <w:tcPr>
            <w:tcW w:w="1980" w:type="dxa"/>
            <w:vAlign w:val="center"/>
          </w:tcPr>
          <w:p w14:paraId="4C8C8FB8" w14:textId="376819B3" w:rsidR="004D1282" w:rsidDel="005411CB" w:rsidRDefault="00960ECB" w:rsidP="00251869">
            <w:pPr>
              <w:spacing w:after="0"/>
              <w:contextualSpacing/>
              <w:jc w:val="left"/>
              <w:rPr>
                <w:rFonts w:ascii="Calibri" w:hAnsi="Calibri" w:cs="Calibri"/>
                <w:i/>
                <w:sz w:val="18"/>
                <w:szCs w:val="18"/>
              </w:rPr>
            </w:pPr>
            <w:r>
              <w:rPr>
                <w:rFonts w:ascii="Calibri" w:hAnsi="Calibri" w:cs="Calibri"/>
                <w:i/>
                <w:sz w:val="18"/>
                <w:szCs w:val="18"/>
              </w:rPr>
              <w:t>1</w:t>
            </w:r>
            <w:r w:rsidR="001F4267">
              <w:rPr>
                <w:rFonts w:ascii="Calibri" w:hAnsi="Calibri" w:cs="Calibri"/>
                <w:i/>
                <w:sz w:val="18"/>
                <w:szCs w:val="18"/>
              </w:rPr>
              <w:t>00</w:t>
            </w:r>
          </w:p>
        </w:tc>
        <w:tc>
          <w:tcPr>
            <w:tcW w:w="2340" w:type="dxa"/>
            <w:shd w:val="clear" w:color="auto" w:fill="auto"/>
            <w:vAlign w:val="center"/>
          </w:tcPr>
          <w:p w14:paraId="4772539F" w14:textId="2509DD81" w:rsidR="004D1282" w:rsidRDefault="002259E2" w:rsidP="00251869">
            <w:pPr>
              <w:spacing w:after="0"/>
              <w:contextualSpacing/>
              <w:jc w:val="left"/>
              <w:rPr>
                <w:rFonts w:ascii="Calibri" w:hAnsi="Calibri" w:cs="Calibri"/>
                <w:i/>
                <w:sz w:val="18"/>
                <w:szCs w:val="18"/>
              </w:rPr>
            </w:pPr>
            <w:r>
              <w:rPr>
                <w:rFonts w:ascii="Calibri" w:hAnsi="Calibri" w:cs="Calibri"/>
                <w:i/>
                <w:sz w:val="18"/>
                <w:szCs w:val="18"/>
              </w:rPr>
              <w:t>Project records, monitoring visits</w:t>
            </w:r>
            <w:r w:rsidR="0035154E">
              <w:rPr>
                <w:rFonts w:ascii="Calibri" w:hAnsi="Calibri" w:cs="Calibri"/>
                <w:i/>
                <w:sz w:val="18"/>
                <w:szCs w:val="18"/>
              </w:rPr>
              <w:t xml:space="preserve">, feedback from the beneficiaries </w:t>
            </w:r>
          </w:p>
        </w:tc>
      </w:tr>
      <w:tr w:rsidR="00251869" w:rsidRPr="00A90DA2" w14:paraId="62E0CE15" w14:textId="77777777" w:rsidTr="00251869">
        <w:trPr>
          <w:trHeight w:val="521"/>
          <w:tblHeader/>
        </w:trPr>
        <w:tc>
          <w:tcPr>
            <w:tcW w:w="2677" w:type="dxa"/>
            <w:vMerge/>
            <w:vAlign w:val="center"/>
          </w:tcPr>
          <w:p w14:paraId="466B48ED" w14:textId="77777777" w:rsidR="00F05DF1" w:rsidRPr="000C0EDE" w:rsidRDefault="00F05DF1" w:rsidP="00251869">
            <w:pPr>
              <w:spacing w:after="0"/>
              <w:contextualSpacing/>
              <w:jc w:val="left"/>
              <w:rPr>
                <w:rFonts w:ascii="Calibri" w:hAnsi="Calibri" w:cs="Calibri"/>
                <w:i/>
                <w:sz w:val="18"/>
                <w:szCs w:val="18"/>
              </w:rPr>
            </w:pPr>
          </w:p>
        </w:tc>
        <w:tc>
          <w:tcPr>
            <w:tcW w:w="4410" w:type="dxa"/>
            <w:vAlign w:val="center"/>
          </w:tcPr>
          <w:p w14:paraId="1CD97ED2" w14:textId="2B79FA45" w:rsidR="00F05DF1" w:rsidRPr="00010736" w:rsidRDefault="00F05DF1" w:rsidP="00251869">
            <w:pPr>
              <w:pStyle w:val="Header"/>
              <w:spacing w:after="0"/>
              <w:contextualSpacing/>
              <w:jc w:val="left"/>
              <w:rPr>
                <w:rFonts w:ascii="Calibri" w:hAnsi="Calibri" w:cs="Calibri"/>
                <w:bCs/>
                <w:i/>
                <w:sz w:val="18"/>
                <w:szCs w:val="18"/>
              </w:rPr>
            </w:pPr>
            <w:r w:rsidRPr="000C0EDE">
              <w:rPr>
                <w:rFonts w:ascii="Calibri" w:hAnsi="Calibri" w:cs="Calibri"/>
                <w:b/>
                <w:i/>
                <w:sz w:val="18"/>
                <w:szCs w:val="18"/>
              </w:rPr>
              <w:t>1.</w:t>
            </w:r>
            <w:r w:rsidR="00132A28">
              <w:rPr>
                <w:rFonts w:ascii="Calibri" w:hAnsi="Calibri" w:cs="Calibri"/>
                <w:b/>
                <w:i/>
                <w:sz w:val="18"/>
                <w:szCs w:val="18"/>
              </w:rPr>
              <w:t>5</w:t>
            </w:r>
            <w:r w:rsidRPr="000C0EDE">
              <w:rPr>
                <w:rFonts w:ascii="Calibri" w:hAnsi="Calibri" w:cs="Calibri"/>
                <w:b/>
                <w:i/>
                <w:sz w:val="18"/>
                <w:szCs w:val="18"/>
              </w:rPr>
              <w:t xml:space="preserve"> </w:t>
            </w:r>
            <w:r>
              <w:rPr>
                <w:rFonts w:ascii="Calibri" w:hAnsi="Calibri" w:cs="Calibri"/>
                <w:bCs/>
                <w:i/>
                <w:sz w:val="18"/>
                <w:szCs w:val="18"/>
              </w:rPr>
              <w:t>Platform created to develop and share youth CVs with private sector actors</w:t>
            </w:r>
          </w:p>
        </w:tc>
        <w:tc>
          <w:tcPr>
            <w:tcW w:w="2250" w:type="dxa"/>
            <w:vAlign w:val="center"/>
          </w:tcPr>
          <w:p w14:paraId="5EE30625" w14:textId="7FC4D2E5" w:rsidR="00F05DF1" w:rsidRPr="000C0EDE" w:rsidRDefault="00F05DF1" w:rsidP="00251869">
            <w:pPr>
              <w:pStyle w:val="Header"/>
              <w:spacing w:after="0"/>
              <w:contextualSpacing/>
              <w:jc w:val="left"/>
              <w:rPr>
                <w:rFonts w:ascii="Calibri" w:hAnsi="Calibri" w:cs="Calibri"/>
                <w:i/>
                <w:sz w:val="18"/>
                <w:szCs w:val="18"/>
              </w:rPr>
            </w:pPr>
            <w:r>
              <w:rPr>
                <w:rFonts w:ascii="Calibri" w:hAnsi="Calibri" w:cs="Calibri"/>
                <w:i/>
                <w:sz w:val="18"/>
                <w:szCs w:val="18"/>
              </w:rPr>
              <w:t>Progress</w:t>
            </w:r>
            <w:r w:rsidRPr="000C0EDE">
              <w:rPr>
                <w:rFonts w:ascii="Calibri" w:hAnsi="Calibri" w:cs="Calibri"/>
                <w:i/>
                <w:sz w:val="18"/>
                <w:szCs w:val="18"/>
              </w:rPr>
              <w:t xml:space="preserve"> reports</w:t>
            </w:r>
          </w:p>
        </w:tc>
        <w:tc>
          <w:tcPr>
            <w:tcW w:w="990" w:type="dxa"/>
            <w:shd w:val="clear" w:color="auto" w:fill="auto"/>
            <w:vAlign w:val="center"/>
          </w:tcPr>
          <w:p w14:paraId="428E9606" w14:textId="3AC0060B" w:rsidR="00F05DF1" w:rsidRPr="000C0EDE" w:rsidRDefault="00F05DF1" w:rsidP="00251869">
            <w:pPr>
              <w:pStyle w:val="Header"/>
              <w:spacing w:after="0"/>
              <w:contextualSpacing/>
              <w:jc w:val="left"/>
              <w:rPr>
                <w:rFonts w:ascii="Calibri" w:hAnsi="Calibri" w:cs="Calibri"/>
                <w:i/>
                <w:sz w:val="18"/>
                <w:szCs w:val="18"/>
              </w:rPr>
            </w:pPr>
            <w:r w:rsidRPr="000C0EDE">
              <w:rPr>
                <w:rFonts w:ascii="Calibri" w:hAnsi="Calibri" w:cs="Calibri"/>
                <w:i/>
                <w:sz w:val="18"/>
                <w:szCs w:val="18"/>
              </w:rPr>
              <w:t>0</w:t>
            </w:r>
          </w:p>
        </w:tc>
        <w:tc>
          <w:tcPr>
            <w:tcW w:w="1980" w:type="dxa"/>
            <w:vAlign w:val="center"/>
          </w:tcPr>
          <w:p w14:paraId="731E4B94" w14:textId="40BFC889" w:rsidR="00F05DF1" w:rsidRPr="000C0EDE" w:rsidDel="00BD7C58" w:rsidRDefault="00F05DF1" w:rsidP="00251869">
            <w:pPr>
              <w:spacing w:after="0"/>
              <w:contextualSpacing/>
              <w:jc w:val="left"/>
              <w:rPr>
                <w:rFonts w:ascii="Calibri" w:hAnsi="Calibri" w:cs="Calibri"/>
                <w:i/>
                <w:sz w:val="18"/>
                <w:szCs w:val="18"/>
              </w:rPr>
            </w:pPr>
            <w:r>
              <w:rPr>
                <w:rFonts w:ascii="Calibri" w:hAnsi="Calibri" w:cs="Calibri"/>
                <w:i/>
                <w:sz w:val="18"/>
                <w:szCs w:val="18"/>
              </w:rPr>
              <w:t>1 platform</w:t>
            </w:r>
          </w:p>
        </w:tc>
        <w:tc>
          <w:tcPr>
            <w:tcW w:w="2340" w:type="dxa"/>
            <w:shd w:val="clear" w:color="auto" w:fill="auto"/>
            <w:vAlign w:val="center"/>
          </w:tcPr>
          <w:p w14:paraId="6C466014" w14:textId="6AC0DD94" w:rsidR="00F05DF1" w:rsidRPr="000C0EDE" w:rsidRDefault="00DA172E" w:rsidP="00251869">
            <w:pPr>
              <w:spacing w:after="0"/>
              <w:contextualSpacing/>
              <w:jc w:val="left"/>
              <w:rPr>
                <w:rFonts w:ascii="Calibri" w:hAnsi="Calibri" w:cs="Calibri"/>
                <w:i/>
                <w:sz w:val="18"/>
                <w:szCs w:val="18"/>
              </w:rPr>
            </w:pPr>
            <w:r>
              <w:rPr>
                <w:rFonts w:ascii="Calibri" w:hAnsi="Calibri" w:cs="Calibri"/>
                <w:i/>
                <w:sz w:val="18"/>
                <w:szCs w:val="18"/>
              </w:rPr>
              <w:t xml:space="preserve">Project records, monitoring visits, reports from the </w:t>
            </w:r>
            <w:r w:rsidR="006074A5">
              <w:rPr>
                <w:rFonts w:ascii="Calibri" w:hAnsi="Calibri" w:cs="Calibri"/>
                <w:i/>
                <w:sz w:val="18"/>
                <w:szCs w:val="18"/>
              </w:rPr>
              <w:t>Platform organizer</w:t>
            </w:r>
          </w:p>
        </w:tc>
      </w:tr>
      <w:tr w:rsidR="00251869" w:rsidRPr="00A90DA2" w14:paraId="50688C2A" w14:textId="77777777" w:rsidTr="00251869">
        <w:trPr>
          <w:trHeight w:val="359"/>
          <w:tblHeader/>
        </w:trPr>
        <w:tc>
          <w:tcPr>
            <w:tcW w:w="2677" w:type="dxa"/>
            <w:vMerge/>
            <w:vAlign w:val="center"/>
          </w:tcPr>
          <w:p w14:paraId="1382E220" w14:textId="77777777" w:rsidR="00F05DF1" w:rsidRPr="000C0EDE" w:rsidRDefault="00F05DF1" w:rsidP="00251869">
            <w:pPr>
              <w:spacing w:after="0"/>
              <w:contextualSpacing/>
              <w:jc w:val="left"/>
              <w:rPr>
                <w:rFonts w:ascii="Calibri" w:hAnsi="Calibri" w:cs="Calibri"/>
                <w:i/>
                <w:sz w:val="18"/>
                <w:szCs w:val="18"/>
              </w:rPr>
            </w:pPr>
          </w:p>
        </w:tc>
        <w:tc>
          <w:tcPr>
            <w:tcW w:w="4410" w:type="dxa"/>
            <w:vAlign w:val="center"/>
          </w:tcPr>
          <w:p w14:paraId="1F29B042" w14:textId="0182E7EF" w:rsidR="00F05DF1" w:rsidRPr="000C0EDE" w:rsidRDefault="00F05DF1" w:rsidP="00251869">
            <w:pPr>
              <w:pStyle w:val="Header"/>
              <w:spacing w:after="0"/>
              <w:contextualSpacing/>
              <w:jc w:val="left"/>
              <w:rPr>
                <w:rFonts w:ascii="Calibri" w:hAnsi="Calibri" w:cs="Calibri"/>
                <w:b/>
                <w:i/>
                <w:sz w:val="18"/>
                <w:szCs w:val="18"/>
              </w:rPr>
            </w:pPr>
            <w:r>
              <w:rPr>
                <w:rFonts w:ascii="Calibri" w:hAnsi="Calibri" w:cs="Calibri"/>
                <w:b/>
                <w:i/>
                <w:sz w:val="18"/>
                <w:szCs w:val="18"/>
              </w:rPr>
              <w:t>1.</w:t>
            </w:r>
            <w:r w:rsidR="00132A28">
              <w:rPr>
                <w:rFonts w:ascii="Calibri" w:hAnsi="Calibri" w:cs="Calibri"/>
                <w:b/>
                <w:i/>
                <w:sz w:val="18"/>
                <w:szCs w:val="18"/>
              </w:rPr>
              <w:t>6</w:t>
            </w:r>
            <w:r>
              <w:rPr>
                <w:rFonts w:ascii="Calibri" w:hAnsi="Calibri" w:cs="Calibri"/>
                <w:b/>
                <w:i/>
                <w:sz w:val="18"/>
                <w:szCs w:val="18"/>
              </w:rPr>
              <w:t xml:space="preserve"> </w:t>
            </w:r>
            <w:r>
              <w:rPr>
                <w:rFonts w:ascii="Calibri" w:hAnsi="Calibri" w:cs="Calibri"/>
                <w:bCs/>
                <w:i/>
                <w:sz w:val="18"/>
                <w:szCs w:val="18"/>
              </w:rPr>
              <w:t>Number of youth CVs developed and collected</w:t>
            </w:r>
          </w:p>
        </w:tc>
        <w:tc>
          <w:tcPr>
            <w:tcW w:w="2250" w:type="dxa"/>
            <w:vAlign w:val="center"/>
          </w:tcPr>
          <w:p w14:paraId="1D5B8428" w14:textId="1C98825D" w:rsidR="00F05DF1" w:rsidRDefault="00F05DF1" w:rsidP="00251869">
            <w:pPr>
              <w:pStyle w:val="Header"/>
              <w:spacing w:after="0"/>
              <w:contextualSpacing/>
              <w:jc w:val="left"/>
              <w:rPr>
                <w:rFonts w:ascii="Calibri" w:hAnsi="Calibri" w:cs="Calibri"/>
                <w:i/>
                <w:sz w:val="18"/>
                <w:szCs w:val="18"/>
              </w:rPr>
            </w:pPr>
            <w:r>
              <w:rPr>
                <w:rFonts w:ascii="Calibri" w:hAnsi="Calibri" w:cs="Calibri"/>
                <w:i/>
                <w:sz w:val="18"/>
                <w:szCs w:val="18"/>
              </w:rPr>
              <w:t>Physical verification of CVs</w:t>
            </w:r>
          </w:p>
        </w:tc>
        <w:tc>
          <w:tcPr>
            <w:tcW w:w="990" w:type="dxa"/>
            <w:shd w:val="clear" w:color="auto" w:fill="auto"/>
            <w:vAlign w:val="center"/>
          </w:tcPr>
          <w:p w14:paraId="5AE9C480" w14:textId="21CDF3D1" w:rsidR="00F05DF1" w:rsidRPr="000C0EDE" w:rsidRDefault="00F05DF1" w:rsidP="00251869">
            <w:pPr>
              <w:pStyle w:val="Header"/>
              <w:spacing w:after="0"/>
              <w:contextualSpacing/>
              <w:jc w:val="left"/>
              <w:rPr>
                <w:rFonts w:ascii="Calibri" w:hAnsi="Calibri" w:cs="Calibri"/>
                <w:i/>
                <w:sz w:val="18"/>
                <w:szCs w:val="18"/>
              </w:rPr>
            </w:pPr>
            <w:r>
              <w:rPr>
                <w:rFonts w:ascii="Calibri" w:hAnsi="Calibri" w:cs="Calibri"/>
                <w:i/>
                <w:sz w:val="18"/>
                <w:szCs w:val="18"/>
              </w:rPr>
              <w:t>0</w:t>
            </w:r>
          </w:p>
        </w:tc>
        <w:tc>
          <w:tcPr>
            <w:tcW w:w="1980" w:type="dxa"/>
            <w:vAlign w:val="center"/>
          </w:tcPr>
          <w:p w14:paraId="552457C3" w14:textId="1108965E" w:rsidR="00F05DF1" w:rsidRDefault="00F05DF1" w:rsidP="00251869">
            <w:pPr>
              <w:spacing w:after="0"/>
              <w:contextualSpacing/>
              <w:jc w:val="left"/>
              <w:rPr>
                <w:rFonts w:ascii="Calibri" w:hAnsi="Calibri" w:cs="Calibri"/>
                <w:i/>
                <w:sz w:val="18"/>
                <w:szCs w:val="18"/>
              </w:rPr>
            </w:pPr>
            <w:r>
              <w:rPr>
                <w:rFonts w:ascii="Calibri" w:hAnsi="Calibri" w:cs="Calibri"/>
                <w:i/>
                <w:sz w:val="18"/>
                <w:szCs w:val="18"/>
              </w:rPr>
              <w:t>100 youth</w:t>
            </w:r>
            <w:r w:rsidR="00251869">
              <w:rPr>
                <w:rFonts w:ascii="Calibri" w:hAnsi="Calibri" w:cs="Calibri"/>
                <w:i/>
                <w:sz w:val="18"/>
                <w:szCs w:val="18"/>
              </w:rPr>
              <w:t xml:space="preserve"> (30 women)</w:t>
            </w:r>
          </w:p>
        </w:tc>
        <w:tc>
          <w:tcPr>
            <w:tcW w:w="2340" w:type="dxa"/>
            <w:shd w:val="clear" w:color="auto" w:fill="auto"/>
            <w:vAlign w:val="center"/>
          </w:tcPr>
          <w:p w14:paraId="6E47B7F1" w14:textId="7EF99615" w:rsidR="00F05DF1" w:rsidRPr="000C0EDE" w:rsidRDefault="009A5FE5" w:rsidP="00251869">
            <w:pPr>
              <w:spacing w:after="0"/>
              <w:contextualSpacing/>
              <w:jc w:val="left"/>
              <w:rPr>
                <w:rFonts w:ascii="Calibri" w:hAnsi="Calibri" w:cs="Calibri"/>
                <w:i/>
                <w:sz w:val="18"/>
                <w:szCs w:val="18"/>
              </w:rPr>
            </w:pPr>
            <w:r>
              <w:rPr>
                <w:rFonts w:ascii="Calibri" w:hAnsi="Calibri" w:cs="Calibri"/>
                <w:i/>
                <w:sz w:val="18"/>
                <w:szCs w:val="18"/>
              </w:rPr>
              <w:t>Project records</w:t>
            </w:r>
            <w:r w:rsidR="00605EAA">
              <w:rPr>
                <w:rFonts w:ascii="Calibri" w:hAnsi="Calibri" w:cs="Calibri"/>
                <w:i/>
                <w:sz w:val="18"/>
                <w:szCs w:val="18"/>
              </w:rPr>
              <w:t xml:space="preserve">, </w:t>
            </w:r>
            <w:r w:rsidR="001822AF">
              <w:rPr>
                <w:rFonts w:ascii="Calibri" w:hAnsi="Calibri" w:cs="Calibri"/>
                <w:i/>
                <w:sz w:val="18"/>
                <w:szCs w:val="18"/>
              </w:rPr>
              <w:t>reports from the Platform organizer</w:t>
            </w:r>
          </w:p>
        </w:tc>
      </w:tr>
      <w:tr w:rsidR="00251869" w:rsidRPr="00A90DA2" w14:paraId="5BBB7F11" w14:textId="77777777" w:rsidTr="00251869">
        <w:trPr>
          <w:trHeight w:val="638"/>
          <w:tblHeader/>
        </w:trPr>
        <w:tc>
          <w:tcPr>
            <w:tcW w:w="2677" w:type="dxa"/>
            <w:vMerge w:val="restart"/>
            <w:vAlign w:val="center"/>
          </w:tcPr>
          <w:p w14:paraId="2A8AEC15" w14:textId="77777777" w:rsidR="00010736" w:rsidRDefault="00010736" w:rsidP="00251869">
            <w:pPr>
              <w:spacing w:after="0"/>
              <w:contextualSpacing/>
              <w:jc w:val="left"/>
              <w:rPr>
                <w:rFonts w:ascii="Calibri" w:hAnsi="Calibri"/>
                <w:sz w:val="20"/>
                <w:szCs w:val="20"/>
              </w:rPr>
            </w:pPr>
            <w:r w:rsidRPr="00EA37E8">
              <w:rPr>
                <w:rFonts w:ascii="Calibri" w:hAnsi="Calibri"/>
                <w:b/>
                <w:bCs/>
                <w:sz w:val="20"/>
                <w:szCs w:val="20"/>
              </w:rPr>
              <w:t xml:space="preserve">Output </w:t>
            </w:r>
            <w:r>
              <w:rPr>
                <w:rFonts w:ascii="Calibri" w:hAnsi="Calibri"/>
                <w:b/>
                <w:bCs/>
                <w:sz w:val="20"/>
                <w:szCs w:val="20"/>
              </w:rPr>
              <w:t>2</w:t>
            </w:r>
            <w:r w:rsidRPr="00EA37E8">
              <w:rPr>
                <w:rFonts w:ascii="Calibri" w:hAnsi="Calibri"/>
                <w:b/>
                <w:bCs/>
                <w:sz w:val="20"/>
                <w:szCs w:val="20"/>
              </w:rPr>
              <w:t>:</w:t>
            </w:r>
          </w:p>
          <w:p w14:paraId="5BCE5804" w14:textId="48964631" w:rsidR="00010736" w:rsidRPr="000C0EDE" w:rsidRDefault="00010736" w:rsidP="00251869">
            <w:pPr>
              <w:spacing w:after="0"/>
              <w:contextualSpacing/>
              <w:jc w:val="left"/>
              <w:rPr>
                <w:rFonts w:ascii="Calibri" w:hAnsi="Calibri" w:cs="Calibri"/>
                <w:b/>
                <w:sz w:val="18"/>
                <w:szCs w:val="18"/>
              </w:rPr>
            </w:pPr>
            <w:r w:rsidRPr="00EA37E8">
              <w:rPr>
                <w:rFonts w:ascii="Calibri" w:hAnsi="Calibri"/>
                <w:sz w:val="20"/>
                <w:szCs w:val="20"/>
              </w:rPr>
              <w:t>Local institutions benefit from capacity and skills building in order to deliver effectively on local economic development</w:t>
            </w:r>
          </w:p>
        </w:tc>
        <w:tc>
          <w:tcPr>
            <w:tcW w:w="4410" w:type="dxa"/>
            <w:vAlign w:val="center"/>
          </w:tcPr>
          <w:p w14:paraId="34A2246F" w14:textId="358D68D3" w:rsidR="00010736" w:rsidRPr="006F10ED" w:rsidRDefault="00010736" w:rsidP="00251869">
            <w:pPr>
              <w:spacing w:after="0"/>
              <w:contextualSpacing/>
              <w:jc w:val="left"/>
              <w:rPr>
                <w:rFonts w:ascii="Calibri" w:hAnsi="Calibri" w:cs="Calibri"/>
                <w:i/>
                <w:sz w:val="18"/>
                <w:szCs w:val="18"/>
              </w:rPr>
            </w:pPr>
            <w:r>
              <w:rPr>
                <w:rFonts w:ascii="Calibri" w:hAnsi="Calibri" w:cs="Calibri"/>
                <w:b/>
                <w:bCs/>
                <w:i/>
                <w:sz w:val="18"/>
                <w:szCs w:val="18"/>
              </w:rPr>
              <w:t xml:space="preserve">2.1 </w:t>
            </w:r>
            <w:r w:rsidR="006F10ED">
              <w:rPr>
                <w:rFonts w:ascii="Calibri" w:hAnsi="Calibri" w:cs="Calibri"/>
                <w:i/>
                <w:sz w:val="18"/>
                <w:szCs w:val="18"/>
              </w:rPr>
              <w:t>Agreement established with local institution supporting the private sector</w:t>
            </w:r>
          </w:p>
        </w:tc>
        <w:tc>
          <w:tcPr>
            <w:tcW w:w="2250" w:type="dxa"/>
            <w:vAlign w:val="center"/>
          </w:tcPr>
          <w:p w14:paraId="4B5C77E3" w14:textId="665A2754" w:rsidR="00010736" w:rsidRPr="000C0EDE" w:rsidRDefault="00251869" w:rsidP="00251869">
            <w:pPr>
              <w:spacing w:after="0"/>
              <w:contextualSpacing/>
              <w:jc w:val="left"/>
              <w:rPr>
                <w:rFonts w:ascii="Calibri" w:hAnsi="Calibri" w:cs="Calibri"/>
                <w:i/>
                <w:sz w:val="18"/>
                <w:szCs w:val="18"/>
              </w:rPr>
            </w:pPr>
            <w:r>
              <w:rPr>
                <w:rFonts w:ascii="Calibri" w:hAnsi="Calibri" w:cs="Calibri"/>
                <w:i/>
                <w:sz w:val="18"/>
                <w:szCs w:val="18"/>
              </w:rPr>
              <w:t>UNDP signed agreement</w:t>
            </w:r>
          </w:p>
        </w:tc>
        <w:tc>
          <w:tcPr>
            <w:tcW w:w="990" w:type="dxa"/>
            <w:vAlign w:val="center"/>
          </w:tcPr>
          <w:p w14:paraId="357016D5" w14:textId="750F5E15" w:rsidR="00010736" w:rsidRPr="000C0EDE" w:rsidRDefault="00F05DF1" w:rsidP="00251869">
            <w:pPr>
              <w:spacing w:after="0"/>
              <w:contextualSpacing/>
              <w:jc w:val="left"/>
              <w:rPr>
                <w:rFonts w:ascii="Calibri" w:hAnsi="Calibri" w:cs="Calibri"/>
                <w:i/>
                <w:sz w:val="18"/>
                <w:szCs w:val="18"/>
              </w:rPr>
            </w:pPr>
            <w:r>
              <w:rPr>
                <w:rFonts w:ascii="Calibri" w:hAnsi="Calibri" w:cs="Calibri"/>
                <w:i/>
                <w:sz w:val="18"/>
                <w:szCs w:val="18"/>
              </w:rPr>
              <w:t>0</w:t>
            </w:r>
          </w:p>
        </w:tc>
        <w:tc>
          <w:tcPr>
            <w:tcW w:w="1980" w:type="dxa"/>
            <w:vAlign w:val="center"/>
          </w:tcPr>
          <w:p w14:paraId="2828BB47" w14:textId="02E580BD" w:rsidR="00010736" w:rsidRPr="000C0EDE" w:rsidRDefault="00251869" w:rsidP="00251869">
            <w:pPr>
              <w:spacing w:after="0"/>
              <w:contextualSpacing/>
              <w:jc w:val="left"/>
              <w:rPr>
                <w:rFonts w:ascii="Calibri" w:hAnsi="Calibri" w:cs="Calibri"/>
                <w:i/>
                <w:sz w:val="18"/>
                <w:szCs w:val="18"/>
              </w:rPr>
            </w:pPr>
            <w:r>
              <w:rPr>
                <w:rFonts w:ascii="Calibri" w:hAnsi="Calibri" w:cs="Calibri"/>
                <w:i/>
                <w:sz w:val="18"/>
                <w:szCs w:val="18"/>
              </w:rPr>
              <w:t>1 partnership agreement established</w:t>
            </w:r>
          </w:p>
        </w:tc>
        <w:tc>
          <w:tcPr>
            <w:tcW w:w="2340" w:type="dxa"/>
            <w:vAlign w:val="center"/>
          </w:tcPr>
          <w:p w14:paraId="75190401" w14:textId="15B0FEF4" w:rsidR="00010736" w:rsidRPr="000C0EDE" w:rsidRDefault="0031752C" w:rsidP="00251869">
            <w:pPr>
              <w:spacing w:after="0"/>
              <w:contextualSpacing/>
              <w:jc w:val="left"/>
              <w:rPr>
                <w:rFonts w:ascii="Calibri" w:hAnsi="Calibri" w:cs="Calibri"/>
                <w:i/>
                <w:sz w:val="18"/>
                <w:szCs w:val="18"/>
              </w:rPr>
            </w:pPr>
            <w:r>
              <w:rPr>
                <w:rFonts w:ascii="Calibri" w:hAnsi="Calibri" w:cs="Calibri"/>
                <w:i/>
                <w:sz w:val="18"/>
                <w:szCs w:val="18"/>
              </w:rPr>
              <w:t>Project records</w:t>
            </w:r>
          </w:p>
        </w:tc>
      </w:tr>
      <w:tr w:rsidR="00251869" w:rsidRPr="00A90DA2" w14:paraId="6D7F3618" w14:textId="77777777" w:rsidTr="00251869">
        <w:trPr>
          <w:trHeight w:val="710"/>
          <w:tblHeader/>
        </w:trPr>
        <w:tc>
          <w:tcPr>
            <w:tcW w:w="2677" w:type="dxa"/>
            <w:vMerge/>
            <w:vAlign w:val="center"/>
          </w:tcPr>
          <w:p w14:paraId="014A4D0D" w14:textId="77777777" w:rsidR="00010736" w:rsidRPr="00EA37E8" w:rsidRDefault="00010736" w:rsidP="00251869">
            <w:pPr>
              <w:spacing w:after="0"/>
              <w:contextualSpacing/>
              <w:jc w:val="left"/>
              <w:rPr>
                <w:rFonts w:ascii="Calibri" w:hAnsi="Calibri"/>
                <w:b/>
                <w:bCs/>
                <w:sz w:val="20"/>
                <w:szCs w:val="20"/>
              </w:rPr>
            </w:pPr>
          </w:p>
        </w:tc>
        <w:tc>
          <w:tcPr>
            <w:tcW w:w="4410" w:type="dxa"/>
            <w:vAlign w:val="center"/>
          </w:tcPr>
          <w:p w14:paraId="57B507AB" w14:textId="5EE10BF5" w:rsidR="00010736" w:rsidRPr="006F10ED" w:rsidRDefault="00010736" w:rsidP="00251869">
            <w:pPr>
              <w:spacing w:after="0"/>
              <w:contextualSpacing/>
              <w:jc w:val="left"/>
              <w:rPr>
                <w:rFonts w:ascii="Calibri" w:hAnsi="Calibri" w:cs="Calibri"/>
                <w:i/>
                <w:sz w:val="18"/>
                <w:szCs w:val="18"/>
              </w:rPr>
            </w:pPr>
            <w:r>
              <w:rPr>
                <w:rFonts w:ascii="Calibri" w:hAnsi="Calibri" w:cs="Calibri"/>
                <w:b/>
                <w:bCs/>
                <w:i/>
                <w:sz w:val="18"/>
                <w:szCs w:val="18"/>
              </w:rPr>
              <w:t xml:space="preserve">2.2 </w:t>
            </w:r>
            <w:r w:rsidR="006F10ED">
              <w:rPr>
                <w:rFonts w:ascii="Calibri" w:hAnsi="Calibri" w:cs="Calibri"/>
                <w:i/>
                <w:sz w:val="18"/>
                <w:szCs w:val="18"/>
              </w:rPr>
              <w:t xml:space="preserve">Private sector platform established to increase </w:t>
            </w:r>
            <w:r w:rsidR="00251869">
              <w:rPr>
                <w:rFonts w:ascii="Calibri" w:hAnsi="Calibri" w:cs="Calibri"/>
                <w:i/>
                <w:sz w:val="18"/>
                <w:szCs w:val="18"/>
              </w:rPr>
              <w:t>participation in economic development</w:t>
            </w:r>
          </w:p>
        </w:tc>
        <w:tc>
          <w:tcPr>
            <w:tcW w:w="2250" w:type="dxa"/>
            <w:vAlign w:val="center"/>
          </w:tcPr>
          <w:p w14:paraId="56F3FE71" w14:textId="16087E83" w:rsidR="00010736" w:rsidRPr="000C0EDE" w:rsidRDefault="00251869" w:rsidP="00251869">
            <w:pPr>
              <w:spacing w:after="0"/>
              <w:contextualSpacing/>
              <w:jc w:val="left"/>
              <w:rPr>
                <w:rFonts w:ascii="Calibri" w:hAnsi="Calibri" w:cs="Calibri"/>
                <w:i/>
                <w:sz w:val="18"/>
                <w:szCs w:val="18"/>
              </w:rPr>
            </w:pPr>
            <w:r>
              <w:rPr>
                <w:rFonts w:ascii="Calibri" w:hAnsi="Calibri" w:cs="Calibri"/>
                <w:i/>
                <w:sz w:val="18"/>
                <w:szCs w:val="18"/>
              </w:rPr>
              <w:t xml:space="preserve">Progress reports </w:t>
            </w:r>
          </w:p>
        </w:tc>
        <w:tc>
          <w:tcPr>
            <w:tcW w:w="990" w:type="dxa"/>
            <w:vAlign w:val="center"/>
          </w:tcPr>
          <w:p w14:paraId="69750E4A" w14:textId="69993E91" w:rsidR="00010736" w:rsidRPr="000C0EDE" w:rsidRDefault="00F05DF1" w:rsidP="00251869">
            <w:pPr>
              <w:spacing w:after="0"/>
              <w:contextualSpacing/>
              <w:jc w:val="left"/>
              <w:rPr>
                <w:rFonts w:ascii="Calibri" w:hAnsi="Calibri" w:cs="Calibri"/>
                <w:i/>
                <w:sz w:val="18"/>
                <w:szCs w:val="18"/>
              </w:rPr>
            </w:pPr>
            <w:r>
              <w:rPr>
                <w:rFonts w:ascii="Calibri" w:hAnsi="Calibri" w:cs="Calibri"/>
                <w:i/>
                <w:sz w:val="18"/>
                <w:szCs w:val="18"/>
              </w:rPr>
              <w:t>0</w:t>
            </w:r>
          </w:p>
        </w:tc>
        <w:tc>
          <w:tcPr>
            <w:tcW w:w="1980" w:type="dxa"/>
            <w:vAlign w:val="center"/>
          </w:tcPr>
          <w:p w14:paraId="4AB21389" w14:textId="7B3C639A" w:rsidR="00010736" w:rsidRPr="000C0EDE" w:rsidRDefault="00251869" w:rsidP="00251869">
            <w:pPr>
              <w:spacing w:after="0"/>
              <w:contextualSpacing/>
              <w:jc w:val="left"/>
              <w:rPr>
                <w:rFonts w:ascii="Calibri" w:hAnsi="Calibri" w:cs="Calibri"/>
                <w:i/>
                <w:sz w:val="18"/>
                <w:szCs w:val="18"/>
              </w:rPr>
            </w:pPr>
            <w:r>
              <w:rPr>
                <w:rFonts w:ascii="Calibri" w:hAnsi="Calibri" w:cs="Calibri"/>
                <w:i/>
                <w:sz w:val="18"/>
                <w:szCs w:val="18"/>
              </w:rPr>
              <w:t>1 platform</w:t>
            </w:r>
          </w:p>
        </w:tc>
        <w:tc>
          <w:tcPr>
            <w:tcW w:w="2340" w:type="dxa"/>
            <w:vAlign w:val="center"/>
          </w:tcPr>
          <w:p w14:paraId="1A7AA100" w14:textId="6B90724C" w:rsidR="00010736" w:rsidRPr="000C0EDE" w:rsidRDefault="00A701C4" w:rsidP="00251869">
            <w:pPr>
              <w:spacing w:after="0"/>
              <w:contextualSpacing/>
              <w:jc w:val="left"/>
              <w:rPr>
                <w:rFonts w:ascii="Calibri" w:hAnsi="Calibri" w:cs="Calibri"/>
                <w:i/>
                <w:sz w:val="18"/>
                <w:szCs w:val="18"/>
              </w:rPr>
            </w:pPr>
            <w:r>
              <w:rPr>
                <w:rFonts w:ascii="Calibri" w:hAnsi="Calibri" w:cs="Calibri"/>
                <w:i/>
                <w:sz w:val="18"/>
                <w:szCs w:val="18"/>
              </w:rPr>
              <w:t xml:space="preserve">Project records, monitoring visits, </w:t>
            </w:r>
            <w:r w:rsidR="0016008A">
              <w:rPr>
                <w:rFonts w:ascii="Calibri" w:hAnsi="Calibri" w:cs="Calibri"/>
                <w:i/>
                <w:sz w:val="18"/>
                <w:szCs w:val="18"/>
              </w:rPr>
              <w:t xml:space="preserve">reports </w:t>
            </w:r>
            <w:r w:rsidR="001D443B">
              <w:rPr>
                <w:rFonts w:ascii="Calibri" w:hAnsi="Calibri" w:cs="Calibri"/>
                <w:i/>
                <w:sz w:val="18"/>
                <w:szCs w:val="18"/>
              </w:rPr>
              <w:t>from the counter part</w:t>
            </w:r>
          </w:p>
        </w:tc>
      </w:tr>
      <w:tr w:rsidR="00251869" w:rsidRPr="00A90DA2" w14:paraId="6A2746DB" w14:textId="77777777" w:rsidTr="00251869">
        <w:trPr>
          <w:trHeight w:val="620"/>
          <w:tblHeader/>
        </w:trPr>
        <w:tc>
          <w:tcPr>
            <w:tcW w:w="2677" w:type="dxa"/>
            <w:vMerge w:val="restart"/>
            <w:vAlign w:val="center"/>
          </w:tcPr>
          <w:p w14:paraId="20286423" w14:textId="77777777" w:rsidR="00010736" w:rsidRDefault="00010736" w:rsidP="00251869">
            <w:pPr>
              <w:spacing w:after="0"/>
              <w:contextualSpacing/>
              <w:jc w:val="left"/>
              <w:rPr>
                <w:rFonts w:ascii="Calibri" w:hAnsi="Calibri"/>
                <w:bCs/>
                <w:sz w:val="20"/>
                <w:szCs w:val="20"/>
              </w:rPr>
            </w:pPr>
            <w:r w:rsidRPr="00EA37E8">
              <w:rPr>
                <w:rFonts w:ascii="Calibri" w:hAnsi="Calibri"/>
                <w:b/>
                <w:bCs/>
                <w:sz w:val="20"/>
                <w:szCs w:val="20"/>
              </w:rPr>
              <w:t xml:space="preserve">Output </w:t>
            </w:r>
            <w:r>
              <w:rPr>
                <w:rFonts w:ascii="Calibri" w:hAnsi="Calibri"/>
                <w:b/>
                <w:bCs/>
                <w:sz w:val="20"/>
                <w:szCs w:val="20"/>
              </w:rPr>
              <w:t>3</w:t>
            </w:r>
            <w:r w:rsidRPr="00EA37E8">
              <w:rPr>
                <w:rFonts w:ascii="Calibri" w:hAnsi="Calibri"/>
                <w:b/>
                <w:bCs/>
                <w:sz w:val="20"/>
                <w:szCs w:val="20"/>
              </w:rPr>
              <w:t>:</w:t>
            </w:r>
          </w:p>
          <w:p w14:paraId="4E4DB92E" w14:textId="7F84AE87" w:rsidR="00010736" w:rsidRPr="000C0EDE" w:rsidRDefault="00010736" w:rsidP="00251869">
            <w:pPr>
              <w:spacing w:after="0"/>
              <w:contextualSpacing/>
              <w:jc w:val="left"/>
              <w:rPr>
                <w:rFonts w:ascii="Calibri" w:hAnsi="Calibri" w:cs="Calibri"/>
                <w:b/>
                <w:sz w:val="18"/>
                <w:szCs w:val="18"/>
              </w:rPr>
            </w:pPr>
            <w:r w:rsidRPr="00EA37E8">
              <w:rPr>
                <w:rFonts w:ascii="Calibri" w:hAnsi="Calibri"/>
                <w:sz w:val="20"/>
                <w:szCs w:val="20"/>
              </w:rPr>
              <w:t>Strengthen economic opportunities for youth and vulnerable groups through partnership with Toyota Libya</w:t>
            </w:r>
          </w:p>
        </w:tc>
        <w:tc>
          <w:tcPr>
            <w:tcW w:w="4410" w:type="dxa"/>
            <w:vAlign w:val="center"/>
          </w:tcPr>
          <w:p w14:paraId="698C67DC" w14:textId="7E37AB44" w:rsidR="00010736" w:rsidRPr="00251869" w:rsidRDefault="00010736" w:rsidP="00251869">
            <w:pPr>
              <w:spacing w:after="0"/>
              <w:contextualSpacing/>
              <w:jc w:val="left"/>
              <w:rPr>
                <w:rFonts w:ascii="Calibri" w:hAnsi="Calibri" w:cs="Calibri"/>
                <w:i/>
                <w:sz w:val="18"/>
                <w:szCs w:val="18"/>
              </w:rPr>
            </w:pPr>
            <w:r>
              <w:rPr>
                <w:rFonts w:ascii="Calibri" w:hAnsi="Calibri" w:cs="Calibri"/>
                <w:b/>
                <w:bCs/>
                <w:i/>
                <w:sz w:val="18"/>
                <w:szCs w:val="18"/>
              </w:rPr>
              <w:t xml:space="preserve">3.1 </w:t>
            </w:r>
            <w:r w:rsidR="00251869">
              <w:rPr>
                <w:rFonts w:ascii="Calibri" w:hAnsi="Calibri" w:cs="Calibri"/>
                <w:i/>
                <w:sz w:val="18"/>
                <w:szCs w:val="18"/>
              </w:rPr>
              <w:t>Number of youths completing Toyota training programme</w:t>
            </w:r>
          </w:p>
        </w:tc>
        <w:tc>
          <w:tcPr>
            <w:tcW w:w="2250" w:type="dxa"/>
            <w:vAlign w:val="center"/>
          </w:tcPr>
          <w:p w14:paraId="4A795EA1" w14:textId="66C0A82E" w:rsidR="00010736" w:rsidRPr="000C0EDE" w:rsidRDefault="00251869" w:rsidP="00251869">
            <w:pPr>
              <w:spacing w:after="0"/>
              <w:contextualSpacing/>
              <w:jc w:val="left"/>
              <w:rPr>
                <w:rFonts w:ascii="Calibri" w:hAnsi="Calibri" w:cs="Calibri"/>
                <w:i/>
                <w:sz w:val="18"/>
                <w:szCs w:val="18"/>
              </w:rPr>
            </w:pPr>
            <w:r>
              <w:rPr>
                <w:rFonts w:ascii="Calibri" w:hAnsi="Calibri" w:cs="Calibri"/>
                <w:i/>
                <w:sz w:val="18"/>
                <w:szCs w:val="18"/>
              </w:rPr>
              <w:t>Progress reports, training certifications, photos</w:t>
            </w:r>
          </w:p>
        </w:tc>
        <w:tc>
          <w:tcPr>
            <w:tcW w:w="990" w:type="dxa"/>
            <w:vAlign w:val="center"/>
          </w:tcPr>
          <w:p w14:paraId="2D301C0F" w14:textId="37023318" w:rsidR="00010736" w:rsidRPr="000C0EDE" w:rsidRDefault="00F05DF1" w:rsidP="00251869">
            <w:pPr>
              <w:spacing w:after="0"/>
              <w:contextualSpacing/>
              <w:jc w:val="left"/>
              <w:rPr>
                <w:rFonts w:ascii="Calibri" w:hAnsi="Calibri" w:cs="Calibri"/>
                <w:i/>
                <w:sz w:val="18"/>
                <w:szCs w:val="18"/>
              </w:rPr>
            </w:pPr>
            <w:r>
              <w:rPr>
                <w:rFonts w:ascii="Calibri" w:hAnsi="Calibri" w:cs="Calibri"/>
                <w:i/>
                <w:sz w:val="18"/>
                <w:szCs w:val="18"/>
              </w:rPr>
              <w:t>0</w:t>
            </w:r>
          </w:p>
        </w:tc>
        <w:tc>
          <w:tcPr>
            <w:tcW w:w="1980" w:type="dxa"/>
            <w:vAlign w:val="center"/>
          </w:tcPr>
          <w:p w14:paraId="29B12F90" w14:textId="426ABF50" w:rsidR="00010736" w:rsidRPr="000C0EDE" w:rsidRDefault="00251869" w:rsidP="00251869">
            <w:pPr>
              <w:spacing w:after="0"/>
              <w:contextualSpacing/>
              <w:jc w:val="left"/>
              <w:rPr>
                <w:rFonts w:ascii="Calibri" w:hAnsi="Calibri" w:cs="Calibri"/>
                <w:i/>
                <w:sz w:val="18"/>
                <w:szCs w:val="18"/>
              </w:rPr>
            </w:pPr>
            <w:r>
              <w:rPr>
                <w:rFonts w:ascii="Calibri" w:hAnsi="Calibri" w:cs="Calibri"/>
                <w:i/>
                <w:sz w:val="18"/>
                <w:szCs w:val="18"/>
              </w:rPr>
              <w:t>40 youth (10 IDPs</w:t>
            </w:r>
            <w:r w:rsidR="00950899">
              <w:rPr>
                <w:rFonts w:ascii="Calibri" w:hAnsi="Calibri" w:cs="Calibri"/>
                <w:i/>
                <w:sz w:val="18"/>
                <w:szCs w:val="18"/>
              </w:rPr>
              <w:t xml:space="preserve"> and migrants</w:t>
            </w:r>
            <w:r>
              <w:rPr>
                <w:rFonts w:ascii="Calibri" w:hAnsi="Calibri" w:cs="Calibri"/>
                <w:i/>
                <w:sz w:val="18"/>
                <w:szCs w:val="18"/>
              </w:rPr>
              <w:t>)</w:t>
            </w:r>
          </w:p>
        </w:tc>
        <w:tc>
          <w:tcPr>
            <w:tcW w:w="2340" w:type="dxa"/>
            <w:vAlign w:val="center"/>
          </w:tcPr>
          <w:p w14:paraId="722E029D" w14:textId="2067CA5D" w:rsidR="00010736" w:rsidRPr="000C0EDE" w:rsidRDefault="000D5F17" w:rsidP="00251869">
            <w:pPr>
              <w:spacing w:after="0"/>
              <w:contextualSpacing/>
              <w:jc w:val="left"/>
              <w:rPr>
                <w:rFonts w:ascii="Calibri" w:hAnsi="Calibri" w:cs="Calibri"/>
                <w:i/>
                <w:sz w:val="18"/>
                <w:szCs w:val="18"/>
              </w:rPr>
            </w:pPr>
            <w:r>
              <w:rPr>
                <w:rFonts w:ascii="Calibri" w:hAnsi="Calibri" w:cs="Calibri"/>
                <w:i/>
                <w:sz w:val="18"/>
                <w:szCs w:val="18"/>
              </w:rPr>
              <w:t xml:space="preserve">Project records, monitoring visits, </w:t>
            </w:r>
            <w:r w:rsidR="00C76993">
              <w:rPr>
                <w:rFonts w:ascii="Calibri" w:hAnsi="Calibri" w:cs="Calibri"/>
                <w:i/>
                <w:sz w:val="18"/>
                <w:szCs w:val="18"/>
              </w:rPr>
              <w:t>report from the implemen</w:t>
            </w:r>
            <w:r w:rsidR="00A0596E">
              <w:rPr>
                <w:rFonts w:ascii="Calibri" w:hAnsi="Calibri" w:cs="Calibri"/>
                <w:i/>
                <w:sz w:val="18"/>
                <w:szCs w:val="18"/>
              </w:rPr>
              <w:t>ting partner, feedback from the participants</w:t>
            </w:r>
          </w:p>
        </w:tc>
      </w:tr>
      <w:tr w:rsidR="00251869" w:rsidRPr="00A90DA2" w14:paraId="0C428686" w14:textId="77777777" w:rsidTr="00251869">
        <w:trPr>
          <w:trHeight w:val="638"/>
          <w:tblHeader/>
        </w:trPr>
        <w:tc>
          <w:tcPr>
            <w:tcW w:w="2677" w:type="dxa"/>
            <w:vMerge/>
            <w:vAlign w:val="center"/>
          </w:tcPr>
          <w:p w14:paraId="27E0FF9E" w14:textId="77777777" w:rsidR="00010736" w:rsidRPr="00EA37E8" w:rsidRDefault="00010736" w:rsidP="00251869">
            <w:pPr>
              <w:spacing w:after="0"/>
              <w:contextualSpacing/>
              <w:jc w:val="left"/>
              <w:rPr>
                <w:rFonts w:ascii="Calibri" w:hAnsi="Calibri"/>
                <w:b/>
                <w:bCs/>
                <w:sz w:val="20"/>
                <w:szCs w:val="20"/>
              </w:rPr>
            </w:pPr>
          </w:p>
        </w:tc>
        <w:tc>
          <w:tcPr>
            <w:tcW w:w="4410" w:type="dxa"/>
            <w:vAlign w:val="center"/>
          </w:tcPr>
          <w:p w14:paraId="77452D86" w14:textId="0AFB155D" w:rsidR="00010736" w:rsidRPr="00251869" w:rsidRDefault="00010736" w:rsidP="00251869">
            <w:pPr>
              <w:spacing w:after="0"/>
              <w:contextualSpacing/>
              <w:jc w:val="left"/>
              <w:rPr>
                <w:rFonts w:ascii="Calibri" w:hAnsi="Calibri" w:cs="Calibri"/>
                <w:i/>
                <w:sz w:val="18"/>
                <w:szCs w:val="18"/>
              </w:rPr>
            </w:pPr>
            <w:r>
              <w:rPr>
                <w:rFonts w:ascii="Calibri" w:hAnsi="Calibri" w:cs="Calibri"/>
                <w:b/>
                <w:bCs/>
                <w:i/>
                <w:sz w:val="18"/>
                <w:szCs w:val="18"/>
              </w:rPr>
              <w:t xml:space="preserve">3.2 </w:t>
            </w:r>
            <w:r w:rsidR="00251869">
              <w:rPr>
                <w:rFonts w:ascii="Calibri" w:hAnsi="Calibri" w:cs="Calibri"/>
                <w:i/>
                <w:sz w:val="18"/>
                <w:szCs w:val="18"/>
              </w:rPr>
              <w:t>Number of graduation ceremonies held</w:t>
            </w:r>
          </w:p>
        </w:tc>
        <w:tc>
          <w:tcPr>
            <w:tcW w:w="2250" w:type="dxa"/>
            <w:vAlign w:val="center"/>
          </w:tcPr>
          <w:p w14:paraId="33F06A5D" w14:textId="46744744" w:rsidR="00010736" w:rsidRPr="000C0EDE" w:rsidRDefault="00251869" w:rsidP="00251869">
            <w:pPr>
              <w:spacing w:after="0"/>
              <w:contextualSpacing/>
              <w:jc w:val="left"/>
              <w:rPr>
                <w:rFonts w:ascii="Calibri" w:hAnsi="Calibri" w:cs="Calibri"/>
                <w:i/>
                <w:sz w:val="18"/>
                <w:szCs w:val="18"/>
              </w:rPr>
            </w:pPr>
            <w:r>
              <w:rPr>
                <w:rFonts w:ascii="Calibri" w:hAnsi="Calibri" w:cs="Calibri"/>
                <w:i/>
                <w:sz w:val="18"/>
                <w:szCs w:val="18"/>
              </w:rPr>
              <w:t>UNDP attendance at the event, photos</w:t>
            </w:r>
          </w:p>
        </w:tc>
        <w:tc>
          <w:tcPr>
            <w:tcW w:w="990" w:type="dxa"/>
            <w:vAlign w:val="center"/>
          </w:tcPr>
          <w:p w14:paraId="292D2EDA" w14:textId="6A6EE134" w:rsidR="00010736" w:rsidRPr="000C0EDE" w:rsidRDefault="00F05DF1" w:rsidP="00251869">
            <w:pPr>
              <w:spacing w:after="0"/>
              <w:contextualSpacing/>
              <w:jc w:val="left"/>
              <w:rPr>
                <w:rFonts w:ascii="Calibri" w:hAnsi="Calibri" w:cs="Calibri"/>
                <w:i/>
                <w:sz w:val="18"/>
                <w:szCs w:val="18"/>
              </w:rPr>
            </w:pPr>
            <w:r>
              <w:rPr>
                <w:rFonts w:ascii="Calibri" w:hAnsi="Calibri" w:cs="Calibri"/>
                <w:i/>
                <w:sz w:val="18"/>
                <w:szCs w:val="18"/>
              </w:rPr>
              <w:t>0</w:t>
            </w:r>
          </w:p>
        </w:tc>
        <w:tc>
          <w:tcPr>
            <w:tcW w:w="1980" w:type="dxa"/>
            <w:vAlign w:val="center"/>
          </w:tcPr>
          <w:p w14:paraId="456B3C75" w14:textId="7ACF4F05" w:rsidR="00010736" w:rsidRPr="000C0EDE" w:rsidRDefault="00251869" w:rsidP="00251869">
            <w:pPr>
              <w:spacing w:after="0"/>
              <w:contextualSpacing/>
              <w:jc w:val="left"/>
              <w:rPr>
                <w:rFonts w:ascii="Calibri" w:hAnsi="Calibri" w:cs="Calibri"/>
                <w:i/>
                <w:sz w:val="18"/>
                <w:szCs w:val="18"/>
              </w:rPr>
            </w:pPr>
            <w:r>
              <w:rPr>
                <w:rFonts w:ascii="Calibri" w:hAnsi="Calibri" w:cs="Calibri"/>
                <w:i/>
                <w:sz w:val="18"/>
                <w:szCs w:val="18"/>
              </w:rPr>
              <w:t>2 graduation ceremonies</w:t>
            </w:r>
          </w:p>
        </w:tc>
        <w:tc>
          <w:tcPr>
            <w:tcW w:w="2340" w:type="dxa"/>
            <w:vAlign w:val="center"/>
          </w:tcPr>
          <w:p w14:paraId="7DBB0F2F" w14:textId="3E4FE27F" w:rsidR="00010736" w:rsidRPr="000C0EDE" w:rsidRDefault="00A93782" w:rsidP="00251869">
            <w:pPr>
              <w:spacing w:after="0"/>
              <w:contextualSpacing/>
              <w:jc w:val="left"/>
              <w:rPr>
                <w:rFonts w:ascii="Calibri" w:hAnsi="Calibri" w:cs="Calibri"/>
                <w:i/>
                <w:sz w:val="18"/>
                <w:szCs w:val="18"/>
              </w:rPr>
            </w:pPr>
            <w:r>
              <w:rPr>
                <w:rFonts w:ascii="Calibri" w:hAnsi="Calibri" w:cs="Calibri"/>
                <w:i/>
                <w:sz w:val="18"/>
                <w:szCs w:val="18"/>
              </w:rPr>
              <w:t>Project records, monitoring visits, report from the implementation partner</w:t>
            </w:r>
          </w:p>
        </w:tc>
      </w:tr>
    </w:tbl>
    <w:p w14:paraId="57BECC4B" w14:textId="77777777" w:rsidR="00955924" w:rsidRDefault="00955924" w:rsidP="00A019A4">
      <w:pPr>
        <w:pStyle w:val="Heading1"/>
        <w:numPr>
          <w:ilvl w:val="0"/>
          <w:numId w:val="0"/>
        </w:numPr>
        <w:spacing w:before="0" w:after="0"/>
        <w:contextualSpacing/>
        <w:rPr>
          <w:highlight w:val="lightGray"/>
        </w:rPr>
        <w:sectPr w:rsidR="00955924" w:rsidSect="009C50A8">
          <w:headerReference w:type="first" r:id="rId17"/>
          <w:pgSz w:w="16838" w:h="11906" w:orient="landscape" w:code="9"/>
          <w:pgMar w:top="1152" w:right="864" w:bottom="1152" w:left="864" w:header="720" w:footer="432" w:gutter="0"/>
          <w:cols w:space="708"/>
          <w:titlePg/>
          <w:docGrid w:linePitch="360"/>
        </w:sectPr>
      </w:pPr>
    </w:p>
    <w:p w14:paraId="4DB04E35" w14:textId="77777777" w:rsidR="00955924" w:rsidRPr="00C64C4D" w:rsidRDefault="00955924" w:rsidP="00A019A4">
      <w:pPr>
        <w:pStyle w:val="Heading1"/>
        <w:spacing w:before="0" w:after="0"/>
        <w:contextualSpacing/>
      </w:pPr>
      <w:r w:rsidRPr="00C64C4D">
        <w:t>Monitoring And Evaluation</w:t>
      </w:r>
    </w:p>
    <w:p w14:paraId="7FB535D8" w14:textId="1A5DD3B4" w:rsidR="004D0895" w:rsidRDefault="00955924" w:rsidP="00A019A4">
      <w:pPr>
        <w:spacing w:after="0"/>
        <w:contextualSpacing/>
      </w:pPr>
      <w:r w:rsidRPr="00C64C4D">
        <w:t>In accordance with UNDP’s programming policies</w:t>
      </w:r>
      <w:r>
        <w:t xml:space="preserve"> and procedures, the project will be monitored through the following</w:t>
      </w:r>
      <w:r w:rsidR="00A6671C">
        <w:t xml:space="preserve"> monitoring and evaluation plans</w:t>
      </w:r>
      <w:r>
        <w:t>:</w:t>
      </w:r>
      <w:r w:rsidR="00D14537">
        <w:t xml:space="preserve"> </w:t>
      </w:r>
    </w:p>
    <w:p w14:paraId="1C8F6627" w14:textId="77777777" w:rsidR="00C64C4D" w:rsidRDefault="00C64C4D" w:rsidP="00A019A4">
      <w:pPr>
        <w:spacing w:after="0"/>
        <w:contextualSpacing/>
      </w:pPr>
    </w:p>
    <w:p w14:paraId="65DFA391" w14:textId="77777777" w:rsidR="00962FFA" w:rsidRDefault="00962FFA" w:rsidP="00A019A4">
      <w:pPr>
        <w:spacing w:after="0"/>
        <w:contextualSpacing/>
        <w:rPr>
          <w:b/>
          <w:sz w:val="24"/>
        </w:rPr>
      </w:pPr>
      <w:r w:rsidRPr="00962FFA">
        <w:rPr>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500"/>
        <w:gridCol w:w="2049"/>
        <w:gridCol w:w="3363"/>
        <w:gridCol w:w="1693"/>
        <w:gridCol w:w="1164"/>
      </w:tblGrid>
      <w:tr w:rsidR="00050554" w:rsidRPr="00073DE0" w14:paraId="7D83DA2D" w14:textId="77777777" w:rsidTr="00DC6199">
        <w:tc>
          <w:tcPr>
            <w:tcW w:w="2358" w:type="dxa"/>
            <w:shd w:val="clear" w:color="auto" w:fill="auto"/>
            <w:vAlign w:val="center"/>
          </w:tcPr>
          <w:p w14:paraId="4F92D481" w14:textId="77777777" w:rsidR="00050554" w:rsidRPr="00073DE0" w:rsidRDefault="00050554" w:rsidP="00A019A4">
            <w:pPr>
              <w:spacing w:after="0"/>
              <w:contextualSpacing/>
              <w:jc w:val="center"/>
              <w:rPr>
                <w:b/>
              </w:rPr>
            </w:pPr>
            <w:r w:rsidRPr="00073DE0">
              <w:rPr>
                <w:b/>
              </w:rPr>
              <w:t>Monitoring Activity</w:t>
            </w:r>
          </w:p>
        </w:tc>
        <w:tc>
          <w:tcPr>
            <w:tcW w:w="4590" w:type="dxa"/>
            <w:shd w:val="clear" w:color="auto" w:fill="auto"/>
            <w:vAlign w:val="center"/>
          </w:tcPr>
          <w:p w14:paraId="4EEF491B" w14:textId="77777777" w:rsidR="00050554" w:rsidRPr="00073DE0" w:rsidRDefault="00050554" w:rsidP="00A019A4">
            <w:pPr>
              <w:spacing w:after="0"/>
              <w:contextualSpacing/>
              <w:jc w:val="center"/>
              <w:rPr>
                <w:b/>
              </w:rPr>
            </w:pPr>
            <w:r w:rsidRPr="00073DE0">
              <w:rPr>
                <w:b/>
              </w:rPr>
              <w:t>Purpose</w:t>
            </w:r>
          </w:p>
        </w:tc>
        <w:tc>
          <w:tcPr>
            <w:tcW w:w="2070" w:type="dxa"/>
            <w:shd w:val="clear" w:color="auto" w:fill="auto"/>
            <w:vAlign w:val="center"/>
          </w:tcPr>
          <w:p w14:paraId="4CD46E65" w14:textId="77777777" w:rsidR="00050554" w:rsidRPr="00073DE0" w:rsidRDefault="00050554" w:rsidP="00A019A4">
            <w:pPr>
              <w:spacing w:after="0"/>
              <w:contextualSpacing/>
              <w:jc w:val="center"/>
              <w:rPr>
                <w:b/>
              </w:rPr>
            </w:pPr>
            <w:r w:rsidRPr="00073DE0">
              <w:rPr>
                <w:b/>
              </w:rPr>
              <w:t>Frequency</w:t>
            </w:r>
          </w:p>
        </w:tc>
        <w:tc>
          <w:tcPr>
            <w:tcW w:w="3420" w:type="dxa"/>
            <w:shd w:val="clear" w:color="auto" w:fill="auto"/>
            <w:vAlign w:val="center"/>
          </w:tcPr>
          <w:p w14:paraId="0C9BED84" w14:textId="77777777" w:rsidR="00050554" w:rsidRPr="00073DE0" w:rsidRDefault="00050554" w:rsidP="00A019A4">
            <w:pPr>
              <w:spacing w:after="0"/>
              <w:contextualSpacing/>
              <w:jc w:val="center"/>
              <w:rPr>
                <w:b/>
              </w:rPr>
            </w:pPr>
            <w:r w:rsidRPr="00073DE0">
              <w:rPr>
                <w:b/>
              </w:rPr>
              <w:t>Expected Action</w:t>
            </w:r>
          </w:p>
        </w:tc>
        <w:tc>
          <w:tcPr>
            <w:tcW w:w="1710" w:type="dxa"/>
            <w:shd w:val="clear" w:color="auto" w:fill="auto"/>
            <w:vAlign w:val="center"/>
          </w:tcPr>
          <w:p w14:paraId="54F385BE" w14:textId="77777777" w:rsidR="00050554" w:rsidRPr="00073DE0" w:rsidRDefault="00050554" w:rsidP="00A019A4">
            <w:pPr>
              <w:spacing w:after="0"/>
              <w:contextualSpacing/>
              <w:jc w:val="center"/>
              <w:rPr>
                <w:b/>
              </w:rPr>
            </w:pPr>
            <w:r w:rsidRPr="00073DE0">
              <w:rPr>
                <w:b/>
              </w:rPr>
              <w:t xml:space="preserve">Partners </w:t>
            </w:r>
          </w:p>
          <w:p w14:paraId="1D5EAAFC" w14:textId="77777777" w:rsidR="00050554" w:rsidRPr="00073DE0" w:rsidRDefault="00050554" w:rsidP="00A019A4">
            <w:pPr>
              <w:spacing w:after="0"/>
              <w:contextualSpacing/>
              <w:jc w:val="center"/>
              <w:rPr>
                <w:b/>
              </w:rPr>
            </w:pPr>
            <w:r w:rsidRPr="00073DE0">
              <w:rPr>
                <w:b/>
              </w:rPr>
              <w:t>(if joint)</w:t>
            </w:r>
          </w:p>
        </w:tc>
        <w:tc>
          <w:tcPr>
            <w:tcW w:w="1178" w:type="dxa"/>
            <w:shd w:val="clear" w:color="auto" w:fill="auto"/>
            <w:vAlign w:val="center"/>
          </w:tcPr>
          <w:p w14:paraId="53D23AAC" w14:textId="77777777" w:rsidR="00050554" w:rsidRPr="00073DE0" w:rsidRDefault="00050554" w:rsidP="00A019A4">
            <w:pPr>
              <w:spacing w:after="0"/>
              <w:contextualSpacing/>
              <w:jc w:val="center"/>
              <w:rPr>
                <w:b/>
              </w:rPr>
            </w:pPr>
            <w:r w:rsidRPr="00073DE0">
              <w:rPr>
                <w:b/>
              </w:rPr>
              <w:t xml:space="preserve">Cost </w:t>
            </w:r>
          </w:p>
          <w:p w14:paraId="4321AA02" w14:textId="77777777" w:rsidR="00050554" w:rsidRPr="00073DE0" w:rsidRDefault="00050554" w:rsidP="00A019A4">
            <w:pPr>
              <w:spacing w:after="0"/>
              <w:contextualSpacing/>
              <w:jc w:val="center"/>
              <w:rPr>
                <w:b/>
              </w:rPr>
            </w:pPr>
            <w:r w:rsidRPr="00073DE0">
              <w:rPr>
                <w:b/>
              </w:rPr>
              <w:t>(if any)</w:t>
            </w:r>
          </w:p>
        </w:tc>
      </w:tr>
      <w:tr w:rsidR="00050554" w:rsidRPr="00073DE0" w14:paraId="2111EBE0" w14:textId="77777777" w:rsidTr="00C64C4D">
        <w:tc>
          <w:tcPr>
            <w:tcW w:w="2358" w:type="dxa"/>
            <w:shd w:val="clear" w:color="auto" w:fill="auto"/>
            <w:vAlign w:val="center"/>
          </w:tcPr>
          <w:p w14:paraId="4655ED2E" w14:textId="77777777" w:rsidR="00050554" w:rsidRPr="00073DE0" w:rsidRDefault="00050554" w:rsidP="00C64C4D">
            <w:pPr>
              <w:spacing w:after="0"/>
              <w:contextualSpacing/>
              <w:jc w:val="left"/>
              <w:rPr>
                <w:b/>
              </w:rPr>
            </w:pPr>
            <w:r w:rsidRPr="00073DE0">
              <w:rPr>
                <w:b/>
              </w:rPr>
              <w:t>Track results progress</w:t>
            </w:r>
          </w:p>
        </w:tc>
        <w:tc>
          <w:tcPr>
            <w:tcW w:w="4590" w:type="dxa"/>
            <w:shd w:val="clear" w:color="auto" w:fill="auto"/>
          </w:tcPr>
          <w:p w14:paraId="6978C8DD" w14:textId="77777777" w:rsidR="00050554" w:rsidRPr="00C64C4D" w:rsidRDefault="00050554" w:rsidP="00A019A4">
            <w:pPr>
              <w:spacing w:after="0"/>
              <w:contextualSpacing/>
              <w:rPr>
                <w:sz w:val="20"/>
                <w:szCs w:val="20"/>
              </w:rPr>
            </w:pPr>
            <w:r w:rsidRPr="00C64C4D">
              <w:rPr>
                <w:rFonts w:cs="Arial"/>
                <w:sz w:val="20"/>
                <w:szCs w:val="20"/>
              </w:rPr>
              <w:t>Progress data against the results indicators in the RRF will be collected and analysed to assess the progress of the project in achieving the agreed outputs.</w:t>
            </w:r>
          </w:p>
        </w:tc>
        <w:tc>
          <w:tcPr>
            <w:tcW w:w="2070" w:type="dxa"/>
            <w:shd w:val="clear" w:color="auto" w:fill="auto"/>
            <w:vAlign w:val="center"/>
          </w:tcPr>
          <w:p w14:paraId="59BEA73E" w14:textId="77777777" w:rsidR="00050554" w:rsidRPr="00C64C4D" w:rsidRDefault="00050554" w:rsidP="00C64C4D">
            <w:pPr>
              <w:spacing w:after="0"/>
              <w:contextualSpacing/>
              <w:jc w:val="left"/>
              <w:rPr>
                <w:sz w:val="20"/>
                <w:szCs w:val="20"/>
              </w:rPr>
            </w:pPr>
            <w:r w:rsidRPr="00C64C4D">
              <w:rPr>
                <w:sz w:val="20"/>
                <w:szCs w:val="20"/>
              </w:rPr>
              <w:t>Quarterly, or in the frequency required for each indicator.</w:t>
            </w:r>
          </w:p>
        </w:tc>
        <w:tc>
          <w:tcPr>
            <w:tcW w:w="3420" w:type="dxa"/>
            <w:shd w:val="clear" w:color="auto" w:fill="auto"/>
          </w:tcPr>
          <w:p w14:paraId="0222D104" w14:textId="77777777" w:rsidR="00050554" w:rsidRPr="00C64C4D" w:rsidRDefault="00050554" w:rsidP="00A019A4">
            <w:pPr>
              <w:spacing w:after="0"/>
              <w:contextualSpacing/>
              <w:rPr>
                <w:sz w:val="20"/>
                <w:szCs w:val="20"/>
              </w:rPr>
            </w:pPr>
            <w:r w:rsidRPr="00C64C4D">
              <w:rPr>
                <w:rFonts w:cs="Arial"/>
                <w:sz w:val="20"/>
                <w:szCs w:val="20"/>
              </w:rPr>
              <w:t>Slower than expected progress will be addressed by project management.</w:t>
            </w:r>
          </w:p>
        </w:tc>
        <w:tc>
          <w:tcPr>
            <w:tcW w:w="1710" w:type="dxa"/>
            <w:shd w:val="clear" w:color="auto" w:fill="auto"/>
            <w:vAlign w:val="center"/>
          </w:tcPr>
          <w:p w14:paraId="0CB9319E" w14:textId="5BD6D203" w:rsidR="00050554" w:rsidRPr="00C64C4D" w:rsidRDefault="00C64C4D" w:rsidP="00C64C4D">
            <w:pPr>
              <w:spacing w:after="0"/>
              <w:contextualSpacing/>
              <w:jc w:val="center"/>
              <w:rPr>
                <w:sz w:val="20"/>
                <w:szCs w:val="20"/>
              </w:rPr>
            </w:pPr>
            <w:r>
              <w:rPr>
                <w:sz w:val="20"/>
                <w:szCs w:val="20"/>
              </w:rPr>
              <w:t>-</w:t>
            </w:r>
          </w:p>
        </w:tc>
        <w:tc>
          <w:tcPr>
            <w:tcW w:w="1178" w:type="dxa"/>
            <w:shd w:val="clear" w:color="auto" w:fill="auto"/>
            <w:vAlign w:val="center"/>
          </w:tcPr>
          <w:p w14:paraId="37B11F7E" w14:textId="6B68277C" w:rsidR="00050554" w:rsidRPr="00C64C4D" w:rsidRDefault="00C64C4D" w:rsidP="00C64C4D">
            <w:pPr>
              <w:spacing w:after="0"/>
              <w:contextualSpacing/>
              <w:jc w:val="left"/>
              <w:rPr>
                <w:sz w:val="20"/>
                <w:szCs w:val="20"/>
              </w:rPr>
            </w:pPr>
            <w:r>
              <w:rPr>
                <w:sz w:val="20"/>
                <w:szCs w:val="20"/>
              </w:rPr>
              <w:t>TBD</w:t>
            </w:r>
          </w:p>
        </w:tc>
      </w:tr>
      <w:tr w:rsidR="00050554" w:rsidRPr="00073DE0" w14:paraId="5CA3E6D6" w14:textId="77777777" w:rsidTr="00C64C4D">
        <w:tc>
          <w:tcPr>
            <w:tcW w:w="2358" w:type="dxa"/>
            <w:shd w:val="clear" w:color="auto" w:fill="auto"/>
            <w:vAlign w:val="center"/>
          </w:tcPr>
          <w:p w14:paraId="4792A307" w14:textId="77777777" w:rsidR="00050554" w:rsidRPr="00073DE0" w:rsidRDefault="00050554" w:rsidP="00C64C4D">
            <w:pPr>
              <w:spacing w:after="0"/>
              <w:contextualSpacing/>
              <w:jc w:val="left"/>
              <w:rPr>
                <w:b/>
              </w:rPr>
            </w:pPr>
            <w:r w:rsidRPr="00073DE0">
              <w:rPr>
                <w:b/>
              </w:rPr>
              <w:t>Monitor and Manage Risk</w:t>
            </w:r>
          </w:p>
        </w:tc>
        <w:tc>
          <w:tcPr>
            <w:tcW w:w="4590" w:type="dxa"/>
            <w:shd w:val="clear" w:color="auto" w:fill="auto"/>
          </w:tcPr>
          <w:p w14:paraId="5F85154A" w14:textId="77777777" w:rsidR="00050554" w:rsidRPr="00C64C4D" w:rsidRDefault="00050554" w:rsidP="00A019A4">
            <w:pPr>
              <w:spacing w:after="0"/>
              <w:contextualSpacing/>
              <w:rPr>
                <w:rFonts w:cs="Arial"/>
                <w:sz w:val="20"/>
                <w:szCs w:val="20"/>
              </w:rPr>
            </w:pPr>
            <w:r w:rsidRPr="00C64C4D">
              <w:rPr>
                <w:sz w:val="20"/>
                <w:szCs w:val="20"/>
              </w:rPr>
              <w:t xml:space="preserve">Identify specific risks that may threaten the </w:t>
            </w:r>
            <w:r w:rsidRPr="00C64C4D">
              <w:rPr>
                <w:noProof/>
                <w:sz w:val="20"/>
                <w:szCs w:val="20"/>
              </w:rPr>
              <w:t>achievement</w:t>
            </w:r>
            <w:r w:rsidRPr="00C64C4D">
              <w:rPr>
                <w:sz w:val="20"/>
                <w:szCs w:val="20"/>
              </w:rPr>
              <w:t xml:space="preserve"> of intended results. Identify and monitor risk management actions using a risk log. </w:t>
            </w:r>
            <w:r w:rsidRPr="00C64C4D">
              <w:rPr>
                <w:rFonts w:cs="Arial"/>
                <w:sz w:val="20"/>
                <w:szCs w:val="20"/>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0F8E983E" w14:textId="77777777" w:rsidR="00050554" w:rsidRPr="00C64C4D" w:rsidRDefault="00050554" w:rsidP="00C64C4D">
            <w:pPr>
              <w:spacing w:after="0"/>
              <w:contextualSpacing/>
              <w:jc w:val="left"/>
              <w:rPr>
                <w:sz w:val="20"/>
                <w:szCs w:val="20"/>
              </w:rPr>
            </w:pPr>
            <w:r w:rsidRPr="00C64C4D">
              <w:rPr>
                <w:sz w:val="20"/>
                <w:szCs w:val="20"/>
              </w:rPr>
              <w:t>Quarterly</w:t>
            </w:r>
          </w:p>
        </w:tc>
        <w:tc>
          <w:tcPr>
            <w:tcW w:w="3420" w:type="dxa"/>
            <w:shd w:val="clear" w:color="auto" w:fill="auto"/>
          </w:tcPr>
          <w:p w14:paraId="6C734CA0" w14:textId="77777777" w:rsidR="00050554" w:rsidRPr="00C64C4D" w:rsidRDefault="00050554" w:rsidP="00A019A4">
            <w:pPr>
              <w:spacing w:after="0"/>
              <w:contextualSpacing/>
              <w:rPr>
                <w:sz w:val="20"/>
                <w:szCs w:val="20"/>
              </w:rPr>
            </w:pPr>
            <w:r w:rsidRPr="00C64C4D">
              <w:rPr>
                <w:sz w:val="20"/>
                <w:szCs w:val="20"/>
              </w:rPr>
              <w:t>Risks are identified by project management and actions are taken to manage risk. The risk log is actively maintained to keep track of identified risks and actions taken.</w:t>
            </w:r>
          </w:p>
        </w:tc>
        <w:tc>
          <w:tcPr>
            <w:tcW w:w="1710" w:type="dxa"/>
            <w:shd w:val="clear" w:color="auto" w:fill="auto"/>
            <w:vAlign w:val="center"/>
          </w:tcPr>
          <w:p w14:paraId="1E4F889E" w14:textId="5B43B56C" w:rsidR="00050554" w:rsidRPr="00C64C4D" w:rsidRDefault="00C64C4D" w:rsidP="00C64C4D">
            <w:pPr>
              <w:spacing w:after="0"/>
              <w:contextualSpacing/>
              <w:jc w:val="center"/>
              <w:rPr>
                <w:sz w:val="20"/>
                <w:szCs w:val="20"/>
              </w:rPr>
            </w:pPr>
            <w:r>
              <w:rPr>
                <w:sz w:val="20"/>
                <w:szCs w:val="20"/>
              </w:rPr>
              <w:t>-</w:t>
            </w:r>
          </w:p>
        </w:tc>
        <w:tc>
          <w:tcPr>
            <w:tcW w:w="1178" w:type="dxa"/>
            <w:shd w:val="clear" w:color="auto" w:fill="auto"/>
            <w:vAlign w:val="center"/>
          </w:tcPr>
          <w:p w14:paraId="6C38DDDA" w14:textId="1B5FD00C" w:rsidR="00050554" w:rsidRPr="00C64C4D" w:rsidRDefault="00C64C4D" w:rsidP="00C64C4D">
            <w:pPr>
              <w:spacing w:after="0"/>
              <w:contextualSpacing/>
              <w:jc w:val="left"/>
              <w:rPr>
                <w:sz w:val="20"/>
                <w:szCs w:val="20"/>
              </w:rPr>
            </w:pPr>
            <w:r>
              <w:rPr>
                <w:sz w:val="20"/>
                <w:szCs w:val="20"/>
              </w:rPr>
              <w:t>TBD</w:t>
            </w:r>
          </w:p>
        </w:tc>
      </w:tr>
      <w:tr w:rsidR="00050554" w:rsidRPr="00073DE0" w14:paraId="6A75AB17" w14:textId="77777777" w:rsidTr="00C64C4D">
        <w:tc>
          <w:tcPr>
            <w:tcW w:w="2358" w:type="dxa"/>
            <w:shd w:val="clear" w:color="auto" w:fill="auto"/>
            <w:vAlign w:val="center"/>
          </w:tcPr>
          <w:p w14:paraId="16DB764A" w14:textId="77777777" w:rsidR="00050554" w:rsidRPr="00073DE0" w:rsidRDefault="00050554" w:rsidP="00C64C4D">
            <w:pPr>
              <w:spacing w:after="0"/>
              <w:contextualSpacing/>
              <w:jc w:val="left"/>
              <w:rPr>
                <w:b/>
              </w:rPr>
            </w:pPr>
            <w:r w:rsidRPr="00073DE0">
              <w:rPr>
                <w:b/>
              </w:rPr>
              <w:t xml:space="preserve">Learn </w:t>
            </w:r>
          </w:p>
        </w:tc>
        <w:tc>
          <w:tcPr>
            <w:tcW w:w="4590" w:type="dxa"/>
            <w:shd w:val="clear" w:color="auto" w:fill="auto"/>
            <w:vAlign w:val="center"/>
          </w:tcPr>
          <w:p w14:paraId="7C55A07D" w14:textId="77777777" w:rsidR="00050554" w:rsidRPr="00C64C4D" w:rsidRDefault="00050554" w:rsidP="00A019A4">
            <w:pPr>
              <w:spacing w:after="0"/>
              <w:contextualSpacing/>
              <w:rPr>
                <w:sz w:val="20"/>
                <w:szCs w:val="20"/>
              </w:rPr>
            </w:pPr>
            <w:r w:rsidRPr="00C64C4D">
              <w:rPr>
                <w:rFonts w:cs="Arial"/>
                <w:sz w:val="20"/>
                <w:szCs w:val="20"/>
              </w:rPr>
              <w:t>Knowledge, good practices and lessons will be captured regularly, as well as actively sourced from other projects and partners and integrated back into the project.</w:t>
            </w:r>
          </w:p>
        </w:tc>
        <w:tc>
          <w:tcPr>
            <w:tcW w:w="2070" w:type="dxa"/>
            <w:shd w:val="clear" w:color="auto" w:fill="auto"/>
            <w:vAlign w:val="center"/>
          </w:tcPr>
          <w:p w14:paraId="7BFAD0AB" w14:textId="77777777" w:rsidR="00050554" w:rsidRPr="00C64C4D" w:rsidRDefault="00050554" w:rsidP="00C64C4D">
            <w:pPr>
              <w:spacing w:after="0"/>
              <w:contextualSpacing/>
              <w:jc w:val="left"/>
              <w:rPr>
                <w:sz w:val="20"/>
                <w:szCs w:val="20"/>
              </w:rPr>
            </w:pPr>
            <w:r w:rsidRPr="00C64C4D">
              <w:rPr>
                <w:sz w:val="20"/>
                <w:szCs w:val="20"/>
              </w:rPr>
              <w:t>At least annually</w:t>
            </w:r>
          </w:p>
        </w:tc>
        <w:tc>
          <w:tcPr>
            <w:tcW w:w="3420" w:type="dxa"/>
            <w:shd w:val="clear" w:color="auto" w:fill="auto"/>
            <w:vAlign w:val="center"/>
          </w:tcPr>
          <w:p w14:paraId="60243AA9" w14:textId="77777777" w:rsidR="00050554" w:rsidRPr="00C64C4D" w:rsidRDefault="00050554" w:rsidP="00A019A4">
            <w:pPr>
              <w:spacing w:after="0"/>
              <w:contextualSpacing/>
              <w:rPr>
                <w:sz w:val="20"/>
                <w:szCs w:val="20"/>
              </w:rPr>
            </w:pPr>
            <w:r w:rsidRPr="00C64C4D">
              <w:rPr>
                <w:sz w:val="20"/>
                <w:szCs w:val="20"/>
              </w:rPr>
              <w:t>Relevant lessons are captured by the project team and used to inform management decisions.</w:t>
            </w:r>
          </w:p>
        </w:tc>
        <w:tc>
          <w:tcPr>
            <w:tcW w:w="1710" w:type="dxa"/>
            <w:shd w:val="clear" w:color="auto" w:fill="auto"/>
            <w:vAlign w:val="center"/>
          </w:tcPr>
          <w:p w14:paraId="68EB600D" w14:textId="4F93E57F" w:rsidR="00050554" w:rsidRPr="00C64C4D" w:rsidRDefault="00C64C4D" w:rsidP="00C64C4D">
            <w:pPr>
              <w:spacing w:after="0"/>
              <w:contextualSpacing/>
              <w:jc w:val="center"/>
              <w:rPr>
                <w:sz w:val="20"/>
                <w:szCs w:val="20"/>
              </w:rPr>
            </w:pPr>
            <w:r>
              <w:rPr>
                <w:sz w:val="20"/>
                <w:szCs w:val="20"/>
              </w:rPr>
              <w:t>-</w:t>
            </w:r>
          </w:p>
        </w:tc>
        <w:tc>
          <w:tcPr>
            <w:tcW w:w="1178" w:type="dxa"/>
            <w:shd w:val="clear" w:color="auto" w:fill="auto"/>
            <w:vAlign w:val="center"/>
          </w:tcPr>
          <w:p w14:paraId="28D0B9D3" w14:textId="053726D3" w:rsidR="00050554" w:rsidRPr="00C64C4D" w:rsidRDefault="00C64C4D" w:rsidP="00C64C4D">
            <w:pPr>
              <w:spacing w:after="0"/>
              <w:contextualSpacing/>
              <w:jc w:val="left"/>
              <w:rPr>
                <w:sz w:val="20"/>
                <w:szCs w:val="20"/>
              </w:rPr>
            </w:pPr>
            <w:r>
              <w:rPr>
                <w:sz w:val="20"/>
                <w:szCs w:val="20"/>
              </w:rPr>
              <w:t>TBD</w:t>
            </w:r>
          </w:p>
        </w:tc>
      </w:tr>
      <w:tr w:rsidR="00050554" w:rsidRPr="00073DE0" w14:paraId="712BAD33" w14:textId="77777777" w:rsidTr="00C64C4D">
        <w:tc>
          <w:tcPr>
            <w:tcW w:w="2358" w:type="dxa"/>
            <w:shd w:val="clear" w:color="auto" w:fill="auto"/>
            <w:vAlign w:val="center"/>
          </w:tcPr>
          <w:p w14:paraId="3F319096" w14:textId="77777777" w:rsidR="00050554" w:rsidRPr="00073DE0" w:rsidRDefault="00050554" w:rsidP="00C64C4D">
            <w:pPr>
              <w:spacing w:after="0"/>
              <w:contextualSpacing/>
              <w:jc w:val="left"/>
              <w:rPr>
                <w:b/>
              </w:rPr>
            </w:pPr>
            <w:r w:rsidRPr="00073DE0">
              <w:rPr>
                <w:b/>
              </w:rPr>
              <w:t>Annual Project Quality Assurance</w:t>
            </w:r>
          </w:p>
        </w:tc>
        <w:tc>
          <w:tcPr>
            <w:tcW w:w="4590" w:type="dxa"/>
            <w:shd w:val="clear" w:color="auto" w:fill="auto"/>
            <w:vAlign w:val="center"/>
          </w:tcPr>
          <w:p w14:paraId="6B848E4D" w14:textId="77777777" w:rsidR="00050554" w:rsidRPr="00C64C4D" w:rsidRDefault="00050554" w:rsidP="00A019A4">
            <w:pPr>
              <w:spacing w:after="0"/>
              <w:contextualSpacing/>
              <w:rPr>
                <w:rFonts w:cs="Arial"/>
                <w:sz w:val="20"/>
                <w:szCs w:val="20"/>
              </w:rPr>
            </w:pPr>
            <w:r w:rsidRPr="00C64C4D">
              <w:rPr>
                <w:rFonts w:cs="Arial"/>
                <w:sz w:val="20"/>
                <w:szCs w:val="20"/>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57540892" w14:textId="77777777" w:rsidR="00050554" w:rsidRPr="00C64C4D" w:rsidRDefault="00050554" w:rsidP="00C64C4D">
            <w:pPr>
              <w:spacing w:after="0"/>
              <w:contextualSpacing/>
              <w:jc w:val="left"/>
              <w:rPr>
                <w:sz w:val="20"/>
                <w:szCs w:val="20"/>
              </w:rPr>
            </w:pPr>
            <w:r w:rsidRPr="00C64C4D">
              <w:rPr>
                <w:sz w:val="20"/>
                <w:szCs w:val="20"/>
              </w:rPr>
              <w:t>Annually</w:t>
            </w:r>
          </w:p>
        </w:tc>
        <w:tc>
          <w:tcPr>
            <w:tcW w:w="3420" w:type="dxa"/>
            <w:shd w:val="clear" w:color="auto" w:fill="auto"/>
            <w:vAlign w:val="center"/>
          </w:tcPr>
          <w:p w14:paraId="4DD9B8C2" w14:textId="77777777" w:rsidR="00050554" w:rsidRPr="00C64C4D" w:rsidRDefault="00050554" w:rsidP="00A019A4">
            <w:pPr>
              <w:spacing w:after="0"/>
              <w:contextualSpacing/>
              <w:rPr>
                <w:sz w:val="20"/>
                <w:szCs w:val="20"/>
              </w:rPr>
            </w:pPr>
            <w:r w:rsidRPr="00C64C4D">
              <w:rPr>
                <w:sz w:val="20"/>
                <w:szCs w:val="20"/>
              </w:rPr>
              <w:t>Areas of strength and weakness will be reviewed by project management and used to inform decisions to improve project performance.</w:t>
            </w:r>
          </w:p>
        </w:tc>
        <w:tc>
          <w:tcPr>
            <w:tcW w:w="1710" w:type="dxa"/>
            <w:shd w:val="clear" w:color="auto" w:fill="auto"/>
            <w:vAlign w:val="center"/>
          </w:tcPr>
          <w:p w14:paraId="3491BDA6" w14:textId="77D81D3D" w:rsidR="00050554" w:rsidRPr="00C64C4D" w:rsidRDefault="00C64C4D" w:rsidP="00C64C4D">
            <w:pPr>
              <w:spacing w:after="0"/>
              <w:contextualSpacing/>
              <w:jc w:val="center"/>
              <w:rPr>
                <w:sz w:val="20"/>
                <w:szCs w:val="20"/>
              </w:rPr>
            </w:pPr>
            <w:r>
              <w:rPr>
                <w:sz w:val="20"/>
                <w:szCs w:val="20"/>
              </w:rPr>
              <w:t>-</w:t>
            </w:r>
          </w:p>
        </w:tc>
        <w:tc>
          <w:tcPr>
            <w:tcW w:w="1178" w:type="dxa"/>
            <w:shd w:val="clear" w:color="auto" w:fill="auto"/>
            <w:vAlign w:val="center"/>
          </w:tcPr>
          <w:p w14:paraId="5625549B" w14:textId="3A530566" w:rsidR="00050554" w:rsidRPr="00C64C4D" w:rsidRDefault="00C64C4D" w:rsidP="00C64C4D">
            <w:pPr>
              <w:spacing w:after="0"/>
              <w:contextualSpacing/>
              <w:jc w:val="left"/>
              <w:rPr>
                <w:sz w:val="20"/>
                <w:szCs w:val="20"/>
              </w:rPr>
            </w:pPr>
            <w:r>
              <w:rPr>
                <w:sz w:val="20"/>
                <w:szCs w:val="20"/>
              </w:rPr>
              <w:t>TBD</w:t>
            </w:r>
          </w:p>
        </w:tc>
      </w:tr>
      <w:tr w:rsidR="00050554" w:rsidRPr="00073DE0" w14:paraId="6C1274D2" w14:textId="77777777" w:rsidTr="00C64C4D">
        <w:tc>
          <w:tcPr>
            <w:tcW w:w="2358" w:type="dxa"/>
            <w:shd w:val="clear" w:color="auto" w:fill="auto"/>
            <w:vAlign w:val="center"/>
          </w:tcPr>
          <w:p w14:paraId="33A07723" w14:textId="77777777" w:rsidR="00050554" w:rsidRPr="00073DE0" w:rsidRDefault="00050554" w:rsidP="00C64C4D">
            <w:pPr>
              <w:spacing w:after="0"/>
              <w:contextualSpacing/>
              <w:jc w:val="left"/>
              <w:rPr>
                <w:b/>
              </w:rPr>
            </w:pPr>
            <w:r w:rsidRPr="00073DE0">
              <w:rPr>
                <w:b/>
              </w:rPr>
              <w:t>Review and Make Course Corrections</w:t>
            </w:r>
          </w:p>
        </w:tc>
        <w:tc>
          <w:tcPr>
            <w:tcW w:w="4590" w:type="dxa"/>
            <w:shd w:val="clear" w:color="auto" w:fill="auto"/>
            <w:vAlign w:val="center"/>
          </w:tcPr>
          <w:p w14:paraId="2E074C10" w14:textId="77777777" w:rsidR="00050554" w:rsidRPr="00C64C4D" w:rsidRDefault="00050554" w:rsidP="00A019A4">
            <w:pPr>
              <w:spacing w:after="0"/>
              <w:contextualSpacing/>
              <w:rPr>
                <w:sz w:val="20"/>
                <w:szCs w:val="20"/>
              </w:rPr>
            </w:pPr>
            <w:r w:rsidRPr="00C64C4D">
              <w:rPr>
                <w:noProof/>
                <w:sz w:val="20"/>
                <w:szCs w:val="20"/>
              </w:rPr>
              <w:t>An internal review</w:t>
            </w:r>
            <w:r w:rsidRPr="00C64C4D">
              <w:rPr>
                <w:sz w:val="20"/>
                <w:szCs w:val="20"/>
              </w:rPr>
              <w:t xml:space="preserve"> of data and evidence from all monitoring actions to inform decision making.</w:t>
            </w:r>
          </w:p>
        </w:tc>
        <w:tc>
          <w:tcPr>
            <w:tcW w:w="2070" w:type="dxa"/>
            <w:shd w:val="clear" w:color="auto" w:fill="auto"/>
            <w:vAlign w:val="center"/>
          </w:tcPr>
          <w:p w14:paraId="68FDCD30" w14:textId="77777777" w:rsidR="00050554" w:rsidRPr="00C64C4D" w:rsidRDefault="00050554" w:rsidP="00C64C4D">
            <w:pPr>
              <w:spacing w:after="0"/>
              <w:contextualSpacing/>
              <w:jc w:val="left"/>
              <w:rPr>
                <w:sz w:val="20"/>
                <w:szCs w:val="20"/>
              </w:rPr>
            </w:pPr>
            <w:r w:rsidRPr="00C64C4D">
              <w:rPr>
                <w:sz w:val="20"/>
                <w:szCs w:val="20"/>
              </w:rPr>
              <w:t>At least annually</w:t>
            </w:r>
          </w:p>
        </w:tc>
        <w:tc>
          <w:tcPr>
            <w:tcW w:w="3420" w:type="dxa"/>
            <w:shd w:val="clear" w:color="auto" w:fill="auto"/>
          </w:tcPr>
          <w:p w14:paraId="6BB5A04C" w14:textId="77777777" w:rsidR="00050554" w:rsidRPr="00C64C4D" w:rsidRDefault="00050554" w:rsidP="00A019A4">
            <w:pPr>
              <w:spacing w:after="0"/>
              <w:contextualSpacing/>
              <w:rPr>
                <w:sz w:val="20"/>
                <w:szCs w:val="20"/>
              </w:rPr>
            </w:pPr>
            <w:r w:rsidRPr="00C64C4D">
              <w:rPr>
                <w:sz w:val="20"/>
                <w:szCs w:val="20"/>
              </w:rPr>
              <w:t>Performance data, risks, lessons and quality will be discussed by the project board and used to make course corrections.</w:t>
            </w:r>
          </w:p>
        </w:tc>
        <w:tc>
          <w:tcPr>
            <w:tcW w:w="1710" w:type="dxa"/>
            <w:shd w:val="clear" w:color="auto" w:fill="auto"/>
            <w:vAlign w:val="center"/>
          </w:tcPr>
          <w:p w14:paraId="31D37919" w14:textId="38E6A0C6" w:rsidR="00050554" w:rsidRPr="00C64C4D" w:rsidRDefault="00C64C4D" w:rsidP="00C64C4D">
            <w:pPr>
              <w:spacing w:after="0"/>
              <w:contextualSpacing/>
              <w:jc w:val="center"/>
              <w:rPr>
                <w:sz w:val="20"/>
                <w:szCs w:val="20"/>
              </w:rPr>
            </w:pPr>
            <w:r>
              <w:rPr>
                <w:sz w:val="20"/>
                <w:szCs w:val="20"/>
              </w:rPr>
              <w:t>-</w:t>
            </w:r>
          </w:p>
        </w:tc>
        <w:tc>
          <w:tcPr>
            <w:tcW w:w="1178" w:type="dxa"/>
            <w:shd w:val="clear" w:color="auto" w:fill="auto"/>
            <w:vAlign w:val="center"/>
          </w:tcPr>
          <w:p w14:paraId="18D986BB" w14:textId="7178F3B0" w:rsidR="00050554" w:rsidRPr="00C64C4D" w:rsidRDefault="00C64C4D" w:rsidP="00C64C4D">
            <w:pPr>
              <w:spacing w:after="0"/>
              <w:contextualSpacing/>
              <w:jc w:val="left"/>
              <w:rPr>
                <w:sz w:val="20"/>
                <w:szCs w:val="20"/>
              </w:rPr>
            </w:pPr>
            <w:r>
              <w:rPr>
                <w:sz w:val="20"/>
                <w:szCs w:val="20"/>
              </w:rPr>
              <w:t>TBD</w:t>
            </w:r>
          </w:p>
        </w:tc>
      </w:tr>
      <w:tr w:rsidR="00050554" w:rsidRPr="00073DE0" w14:paraId="2F383C2A" w14:textId="77777777" w:rsidTr="00C64C4D">
        <w:tc>
          <w:tcPr>
            <w:tcW w:w="2358" w:type="dxa"/>
            <w:shd w:val="clear" w:color="auto" w:fill="auto"/>
            <w:vAlign w:val="center"/>
          </w:tcPr>
          <w:p w14:paraId="1B1881AB" w14:textId="77777777" w:rsidR="00050554" w:rsidRPr="00073DE0" w:rsidRDefault="00050554" w:rsidP="00C64C4D">
            <w:pPr>
              <w:spacing w:after="0"/>
              <w:contextualSpacing/>
              <w:jc w:val="left"/>
              <w:rPr>
                <w:b/>
              </w:rPr>
            </w:pPr>
            <w:r w:rsidRPr="00073DE0">
              <w:rPr>
                <w:b/>
              </w:rPr>
              <w:t>Project Report</w:t>
            </w:r>
          </w:p>
        </w:tc>
        <w:tc>
          <w:tcPr>
            <w:tcW w:w="4590" w:type="dxa"/>
            <w:shd w:val="clear" w:color="auto" w:fill="auto"/>
            <w:vAlign w:val="center"/>
          </w:tcPr>
          <w:p w14:paraId="16334DD2" w14:textId="77777777" w:rsidR="00050554" w:rsidRPr="00C64C4D" w:rsidRDefault="00050554" w:rsidP="00A019A4">
            <w:pPr>
              <w:spacing w:after="0"/>
              <w:contextualSpacing/>
              <w:rPr>
                <w:sz w:val="20"/>
                <w:szCs w:val="20"/>
              </w:rPr>
            </w:pPr>
            <w:r w:rsidRPr="00C64C4D">
              <w:rPr>
                <w:rFonts w:cs="Arial"/>
                <w:sz w:val="20"/>
                <w:szCs w:val="20"/>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493D3CD1" w14:textId="77777777" w:rsidR="00050554" w:rsidRPr="00C64C4D" w:rsidRDefault="00050554" w:rsidP="00C64C4D">
            <w:pPr>
              <w:spacing w:after="0"/>
              <w:contextualSpacing/>
              <w:jc w:val="left"/>
              <w:rPr>
                <w:sz w:val="20"/>
                <w:szCs w:val="20"/>
              </w:rPr>
            </w:pPr>
            <w:r w:rsidRPr="00C64C4D">
              <w:rPr>
                <w:sz w:val="20"/>
                <w:szCs w:val="20"/>
              </w:rPr>
              <w:t>At the end of the project (final report)</w:t>
            </w:r>
          </w:p>
        </w:tc>
        <w:tc>
          <w:tcPr>
            <w:tcW w:w="3420" w:type="dxa"/>
            <w:shd w:val="clear" w:color="auto" w:fill="auto"/>
          </w:tcPr>
          <w:p w14:paraId="4D52FB5C" w14:textId="77777777" w:rsidR="00050554" w:rsidRPr="00C64C4D" w:rsidRDefault="00050554" w:rsidP="00A019A4">
            <w:pPr>
              <w:spacing w:after="0"/>
              <w:contextualSpacing/>
              <w:rPr>
                <w:sz w:val="20"/>
                <w:szCs w:val="20"/>
              </w:rPr>
            </w:pPr>
          </w:p>
        </w:tc>
        <w:tc>
          <w:tcPr>
            <w:tcW w:w="1710" w:type="dxa"/>
            <w:shd w:val="clear" w:color="auto" w:fill="auto"/>
            <w:vAlign w:val="center"/>
          </w:tcPr>
          <w:p w14:paraId="0381E5AC" w14:textId="02B2B043" w:rsidR="00050554" w:rsidRPr="00C64C4D" w:rsidRDefault="00C64C4D" w:rsidP="00C64C4D">
            <w:pPr>
              <w:spacing w:after="0"/>
              <w:contextualSpacing/>
              <w:jc w:val="center"/>
              <w:rPr>
                <w:sz w:val="20"/>
                <w:szCs w:val="20"/>
              </w:rPr>
            </w:pPr>
            <w:r>
              <w:rPr>
                <w:sz w:val="20"/>
                <w:szCs w:val="20"/>
              </w:rPr>
              <w:t>-</w:t>
            </w:r>
          </w:p>
        </w:tc>
        <w:tc>
          <w:tcPr>
            <w:tcW w:w="1178" w:type="dxa"/>
            <w:shd w:val="clear" w:color="auto" w:fill="auto"/>
            <w:vAlign w:val="center"/>
          </w:tcPr>
          <w:p w14:paraId="2954A485" w14:textId="01DE17BE" w:rsidR="00050554" w:rsidRPr="00C64C4D" w:rsidRDefault="00C64C4D" w:rsidP="00C64C4D">
            <w:pPr>
              <w:spacing w:after="0"/>
              <w:contextualSpacing/>
              <w:jc w:val="left"/>
              <w:rPr>
                <w:sz w:val="20"/>
                <w:szCs w:val="20"/>
              </w:rPr>
            </w:pPr>
            <w:r>
              <w:rPr>
                <w:sz w:val="20"/>
                <w:szCs w:val="20"/>
              </w:rPr>
              <w:t>TBD</w:t>
            </w:r>
          </w:p>
        </w:tc>
      </w:tr>
      <w:tr w:rsidR="00050554" w:rsidRPr="00073DE0" w14:paraId="66DAA685" w14:textId="77777777" w:rsidTr="00C64C4D">
        <w:tc>
          <w:tcPr>
            <w:tcW w:w="2358" w:type="dxa"/>
            <w:shd w:val="clear" w:color="auto" w:fill="auto"/>
            <w:vAlign w:val="center"/>
          </w:tcPr>
          <w:p w14:paraId="1B68D36E" w14:textId="77777777" w:rsidR="00050554" w:rsidRPr="00073DE0" w:rsidRDefault="00050554" w:rsidP="00C64C4D">
            <w:pPr>
              <w:spacing w:after="0"/>
              <w:contextualSpacing/>
              <w:jc w:val="left"/>
              <w:rPr>
                <w:b/>
              </w:rPr>
            </w:pPr>
            <w:r w:rsidRPr="00073DE0">
              <w:rPr>
                <w:b/>
              </w:rPr>
              <w:t>Project Review (Project Board)</w:t>
            </w:r>
          </w:p>
        </w:tc>
        <w:tc>
          <w:tcPr>
            <w:tcW w:w="4590" w:type="dxa"/>
            <w:shd w:val="clear" w:color="auto" w:fill="auto"/>
            <w:vAlign w:val="center"/>
          </w:tcPr>
          <w:p w14:paraId="1F83D0F8" w14:textId="6D5F3E0B" w:rsidR="00050554" w:rsidRPr="00C64C4D" w:rsidRDefault="00050554" w:rsidP="00A019A4">
            <w:pPr>
              <w:spacing w:after="0"/>
              <w:contextualSpacing/>
              <w:rPr>
                <w:sz w:val="20"/>
                <w:szCs w:val="20"/>
              </w:rPr>
            </w:pPr>
            <w:r w:rsidRPr="00C64C4D">
              <w:rPr>
                <w:rFonts w:cs="Arial"/>
                <w:sz w:val="20"/>
                <w:szCs w:val="20"/>
              </w:rPr>
              <w:t xml:space="preserve">The project’s governance mechanism (i.e., project board) will hold regular project reviews to assess the performance of the project and review the </w:t>
            </w:r>
            <w:r w:rsidR="00785023" w:rsidRPr="00C64C4D">
              <w:rPr>
                <w:rFonts w:cs="Arial"/>
                <w:sz w:val="20"/>
                <w:szCs w:val="20"/>
              </w:rPr>
              <w:t xml:space="preserve">Annual </w:t>
            </w:r>
            <w:r w:rsidRPr="00C64C4D">
              <w:rPr>
                <w:rFonts w:cs="Arial"/>
                <w:sz w:val="20"/>
                <w:szCs w:val="20"/>
              </w:rPr>
              <w:t xml:space="preserve">Work Plan to ensure realistic budgeting over the life of the project. </w:t>
            </w:r>
            <w:r w:rsidRPr="00C64C4D">
              <w:rPr>
                <w:sz w:val="20"/>
                <w:szCs w:val="20"/>
              </w:rPr>
              <w:t xml:space="preserve">In the project’s final year, the Project Board shall hold an </w:t>
            </w:r>
            <w:r w:rsidRPr="00C64C4D">
              <w:rPr>
                <w:noProof/>
                <w:sz w:val="20"/>
                <w:szCs w:val="20"/>
              </w:rPr>
              <w:t>end-of-project</w:t>
            </w:r>
            <w:r w:rsidRPr="00C64C4D">
              <w:rPr>
                <w:sz w:val="20"/>
                <w:szCs w:val="20"/>
              </w:rPr>
              <w:t xml:space="preserve"> review to capture lessons learned and discuss opportunities for scaling up and to socialize project results and lessons learned with relevant audiences.</w:t>
            </w:r>
          </w:p>
        </w:tc>
        <w:tc>
          <w:tcPr>
            <w:tcW w:w="2070" w:type="dxa"/>
            <w:shd w:val="clear" w:color="auto" w:fill="auto"/>
            <w:vAlign w:val="center"/>
          </w:tcPr>
          <w:p w14:paraId="1EF481CD" w14:textId="5EEA3464" w:rsidR="00050554" w:rsidRPr="00C64C4D" w:rsidRDefault="007A53E5" w:rsidP="00C64C4D">
            <w:pPr>
              <w:spacing w:after="0"/>
              <w:contextualSpacing/>
              <w:jc w:val="left"/>
              <w:rPr>
                <w:sz w:val="20"/>
                <w:szCs w:val="20"/>
              </w:rPr>
            </w:pPr>
            <w:r>
              <w:rPr>
                <w:sz w:val="20"/>
                <w:szCs w:val="20"/>
              </w:rPr>
              <w:t xml:space="preserve">Annually </w:t>
            </w:r>
          </w:p>
        </w:tc>
        <w:tc>
          <w:tcPr>
            <w:tcW w:w="3420" w:type="dxa"/>
            <w:shd w:val="clear" w:color="auto" w:fill="auto"/>
            <w:vAlign w:val="center"/>
          </w:tcPr>
          <w:p w14:paraId="252468CB" w14:textId="77777777" w:rsidR="00050554" w:rsidRPr="00C64C4D" w:rsidRDefault="00050554" w:rsidP="00A019A4">
            <w:pPr>
              <w:spacing w:after="0"/>
              <w:contextualSpacing/>
              <w:rPr>
                <w:b/>
                <w:sz w:val="20"/>
                <w:szCs w:val="20"/>
              </w:rPr>
            </w:pPr>
            <w:r w:rsidRPr="00C64C4D">
              <w:rPr>
                <w:rFonts w:cs="Arial"/>
                <w:sz w:val="20"/>
                <w:szCs w:val="20"/>
              </w:rPr>
              <w:t xml:space="preserve">Any quality concerns or slower than expected progress should be discussed by the project board and management actions agreed to address the issues identified. </w:t>
            </w:r>
          </w:p>
        </w:tc>
        <w:tc>
          <w:tcPr>
            <w:tcW w:w="1710" w:type="dxa"/>
            <w:shd w:val="clear" w:color="auto" w:fill="auto"/>
            <w:vAlign w:val="center"/>
          </w:tcPr>
          <w:p w14:paraId="00D50CFD" w14:textId="1C20B623" w:rsidR="00050554" w:rsidRPr="00C64C4D" w:rsidRDefault="00C64C4D" w:rsidP="00C64C4D">
            <w:pPr>
              <w:spacing w:after="0"/>
              <w:contextualSpacing/>
              <w:jc w:val="center"/>
              <w:rPr>
                <w:sz w:val="20"/>
                <w:szCs w:val="20"/>
              </w:rPr>
            </w:pPr>
            <w:r>
              <w:rPr>
                <w:sz w:val="20"/>
                <w:szCs w:val="20"/>
              </w:rPr>
              <w:t>-</w:t>
            </w:r>
          </w:p>
        </w:tc>
        <w:tc>
          <w:tcPr>
            <w:tcW w:w="1178" w:type="dxa"/>
            <w:shd w:val="clear" w:color="auto" w:fill="auto"/>
            <w:vAlign w:val="center"/>
          </w:tcPr>
          <w:p w14:paraId="08600634" w14:textId="2BC47903" w:rsidR="00050554" w:rsidRPr="00C64C4D" w:rsidRDefault="00C64C4D" w:rsidP="00C64C4D">
            <w:pPr>
              <w:spacing w:after="0"/>
              <w:contextualSpacing/>
              <w:jc w:val="left"/>
              <w:rPr>
                <w:sz w:val="20"/>
                <w:szCs w:val="20"/>
              </w:rPr>
            </w:pPr>
            <w:r>
              <w:rPr>
                <w:sz w:val="20"/>
                <w:szCs w:val="20"/>
              </w:rPr>
              <w:t>TBD</w:t>
            </w:r>
          </w:p>
        </w:tc>
      </w:tr>
    </w:tbl>
    <w:p w14:paraId="6D333968" w14:textId="77777777" w:rsidR="00050554" w:rsidRDefault="00050554" w:rsidP="00A019A4">
      <w:pPr>
        <w:spacing w:after="0"/>
        <w:contextualSpacing/>
        <w:rPr>
          <w:b/>
          <w:sz w:val="24"/>
        </w:rPr>
      </w:pPr>
    </w:p>
    <w:p w14:paraId="612E4151" w14:textId="77777777" w:rsidR="00050554" w:rsidRDefault="00050554" w:rsidP="00A019A4">
      <w:pPr>
        <w:spacing w:after="0"/>
        <w:contextualSpacing/>
        <w:rPr>
          <w:b/>
          <w:sz w:val="24"/>
        </w:rPr>
      </w:pPr>
    </w:p>
    <w:p w14:paraId="468CA80D" w14:textId="77777777" w:rsidR="00A6671C" w:rsidRDefault="00A6671C" w:rsidP="00A019A4">
      <w:pPr>
        <w:spacing w:after="0"/>
        <w:contextualSpacing/>
        <w:sectPr w:rsidR="00A6671C" w:rsidSect="00955924">
          <w:pgSz w:w="16838" w:h="11906" w:orient="landscape" w:code="9"/>
          <w:pgMar w:top="1152" w:right="864" w:bottom="1152" w:left="864" w:header="720" w:footer="432" w:gutter="0"/>
          <w:cols w:space="708"/>
          <w:titlePg/>
          <w:docGrid w:linePitch="360"/>
        </w:sectPr>
      </w:pPr>
    </w:p>
    <w:p w14:paraId="1D17DC95" w14:textId="75397C9A" w:rsidR="008F1069" w:rsidRPr="00693C14" w:rsidRDefault="003867C0" w:rsidP="00A019A4">
      <w:pPr>
        <w:pStyle w:val="Heading1"/>
        <w:spacing w:before="0" w:after="0"/>
        <w:contextualSpacing/>
      </w:pPr>
      <w:r w:rsidRPr="00693C14">
        <w:t>Work Plan</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2881"/>
        <w:gridCol w:w="825"/>
        <w:gridCol w:w="918"/>
        <w:gridCol w:w="825"/>
        <w:gridCol w:w="583"/>
        <w:gridCol w:w="20"/>
        <w:gridCol w:w="310"/>
        <w:gridCol w:w="532"/>
        <w:gridCol w:w="873"/>
        <w:gridCol w:w="1901"/>
        <w:gridCol w:w="1310"/>
      </w:tblGrid>
      <w:tr w:rsidR="005349F2" w:rsidRPr="00693C14" w14:paraId="4F0A53FD" w14:textId="77777777" w:rsidTr="00C74625">
        <w:trPr>
          <w:cantSplit/>
          <w:trHeight w:val="195"/>
        </w:trPr>
        <w:tc>
          <w:tcPr>
            <w:tcW w:w="1102" w:type="pct"/>
            <w:vMerge w:val="restart"/>
            <w:shd w:val="clear" w:color="auto" w:fill="FFFF99"/>
          </w:tcPr>
          <w:p w14:paraId="3775FC26" w14:textId="77777777" w:rsidR="005349F2" w:rsidRPr="00693C14" w:rsidRDefault="005349F2" w:rsidP="00693C14">
            <w:pPr>
              <w:spacing w:after="0"/>
              <w:contextualSpacing/>
              <w:jc w:val="center"/>
              <w:rPr>
                <w:rFonts w:ascii="Calibri" w:hAnsi="Calibri" w:cs="Arial"/>
                <w:b/>
                <w:bCs/>
                <w:sz w:val="20"/>
                <w:szCs w:val="20"/>
              </w:rPr>
            </w:pPr>
            <w:r w:rsidRPr="00693C14">
              <w:rPr>
                <w:rFonts w:ascii="Calibri" w:hAnsi="Calibri" w:cs="Arial"/>
                <w:b/>
                <w:bCs/>
                <w:sz w:val="20"/>
                <w:szCs w:val="20"/>
              </w:rPr>
              <w:t>EXPECTED OUTPUTS</w:t>
            </w:r>
          </w:p>
          <w:p w14:paraId="4457043D" w14:textId="77777777" w:rsidR="005349F2" w:rsidRPr="00693C14" w:rsidRDefault="005349F2" w:rsidP="00693C14">
            <w:pPr>
              <w:spacing w:after="0"/>
              <w:contextualSpacing/>
              <w:rPr>
                <w:rFonts w:ascii="Calibri" w:hAnsi="Calibri" w:cs="Arial"/>
                <w:i/>
                <w:sz w:val="20"/>
                <w:szCs w:val="20"/>
              </w:rPr>
            </w:pPr>
          </w:p>
        </w:tc>
        <w:tc>
          <w:tcPr>
            <w:tcW w:w="1642" w:type="pct"/>
            <w:gridSpan w:val="3"/>
            <w:vMerge w:val="restart"/>
            <w:shd w:val="clear" w:color="auto" w:fill="FFFF99"/>
          </w:tcPr>
          <w:p w14:paraId="6262C183" w14:textId="77777777" w:rsidR="005349F2" w:rsidRPr="00693C14" w:rsidRDefault="005349F2" w:rsidP="00693C14">
            <w:pPr>
              <w:spacing w:after="0"/>
              <w:contextualSpacing/>
              <w:jc w:val="left"/>
              <w:rPr>
                <w:rFonts w:ascii="Calibri" w:hAnsi="Calibri" w:cs="Arial"/>
                <w:bCs/>
                <w:i/>
                <w:sz w:val="20"/>
                <w:szCs w:val="20"/>
              </w:rPr>
            </w:pPr>
            <w:r w:rsidRPr="00693C14">
              <w:rPr>
                <w:rFonts w:ascii="Calibri" w:hAnsi="Calibri" w:cs="Arial"/>
                <w:b/>
                <w:bCs/>
                <w:sz w:val="20"/>
                <w:szCs w:val="20"/>
              </w:rPr>
              <w:t>PLANNED ACTIVITIES</w:t>
            </w:r>
          </w:p>
          <w:p w14:paraId="7ADA5C4C" w14:textId="13BE2810" w:rsidR="005349F2" w:rsidRPr="00693C14" w:rsidRDefault="005349F2" w:rsidP="00693C14">
            <w:pPr>
              <w:spacing w:after="0"/>
              <w:contextualSpacing/>
              <w:jc w:val="left"/>
              <w:rPr>
                <w:rFonts w:ascii="Calibri" w:hAnsi="Calibri" w:cs="Arial"/>
                <w:b/>
                <w:bCs/>
                <w:sz w:val="20"/>
                <w:szCs w:val="20"/>
              </w:rPr>
            </w:pPr>
          </w:p>
          <w:p w14:paraId="01A6985C" w14:textId="0113A8B6" w:rsidR="005349F2" w:rsidRPr="00693C14" w:rsidRDefault="005349F2" w:rsidP="00693C14">
            <w:pPr>
              <w:spacing w:after="0"/>
              <w:contextualSpacing/>
              <w:jc w:val="left"/>
              <w:rPr>
                <w:rFonts w:ascii="Calibri" w:hAnsi="Calibri" w:cs="Arial"/>
                <w:sz w:val="20"/>
                <w:szCs w:val="20"/>
              </w:rPr>
            </w:pPr>
          </w:p>
          <w:p w14:paraId="1688CCBF" w14:textId="6A3BF8C0" w:rsidR="005349F2" w:rsidRPr="00693C14" w:rsidRDefault="005349F2" w:rsidP="00693C14">
            <w:pPr>
              <w:spacing w:after="0"/>
              <w:contextualSpacing/>
              <w:jc w:val="left"/>
              <w:rPr>
                <w:rFonts w:ascii="Calibri" w:hAnsi="Calibri" w:cs="Arial"/>
                <w:b/>
                <w:bCs/>
                <w:sz w:val="20"/>
                <w:szCs w:val="20"/>
              </w:rPr>
            </w:pPr>
          </w:p>
        </w:tc>
        <w:tc>
          <w:tcPr>
            <w:tcW w:w="500" w:type="pct"/>
            <w:gridSpan w:val="2"/>
            <w:vMerge w:val="restart"/>
            <w:shd w:val="clear" w:color="auto" w:fill="FFFF99"/>
            <w:vAlign w:val="center"/>
          </w:tcPr>
          <w:p w14:paraId="1923754F" w14:textId="77777777" w:rsidR="005349F2" w:rsidRPr="00693C14" w:rsidRDefault="005349F2" w:rsidP="00693C14">
            <w:pPr>
              <w:spacing w:after="0"/>
              <w:contextualSpacing/>
              <w:jc w:val="center"/>
              <w:rPr>
                <w:rFonts w:ascii="Calibri" w:hAnsi="Calibri" w:cs="Arial"/>
                <w:b/>
                <w:bCs/>
                <w:sz w:val="20"/>
                <w:szCs w:val="20"/>
              </w:rPr>
            </w:pPr>
            <w:r w:rsidRPr="00693C14">
              <w:rPr>
                <w:rFonts w:ascii="Calibri" w:hAnsi="Calibri" w:cs="Arial"/>
                <w:b/>
                <w:bCs/>
                <w:sz w:val="20"/>
                <w:szCs w:val="20"/>
              </w:rPr>
              <w:t>RESPONSIBLE PARTY</w:t>
            </w:r>
          </w:p>
        </w:tc>
        <w:tc>
          <w:tcPr>
            <w:tcW w:w="1756" w:type="pct"/>
            <w:gridSpan w:val="6"/>
            <w:shd w:val="clear" w:color="auto" w:fill="FFFF99"/>
            <w:vAlign w:val="center"/>
          </w:tcPr>
          <w:p w14:paraId="00581AD7" w14:textId="77777777" w:rsidR="005349F2" w:rsidRPr="00693C14" w:rsidRDefault="005349F2" w:rsidP="00693C14">
            <w:pPr>
              <w:spacing w:after="0"/>
              <w:contextualSpacing/>
              <w:jc w:val="center"/>
              <w:rPr>
                <w:rFonts w:ascii="Calibri" w:hAnsi="Calibri" w:cs="Arial"/>
                <w:b/>
                <w:bCs/>
                <w:sz w:val="20"/>
                <w:szCs w:val="20"/>
              </w:rPr>
            </w:pPr>
            <w:r w:rsidRPr="00693C14">
              <w:rPr>
                <w:rFonts w:ascii="Calibri" w:hAnsi="Calibri" w:cs="Arial"/>
                <w:b/>
                <w:bCs/>
                <w:sz w:val="20"/>
                <w:szCs w:val="20"/>
              </w:rPr>
              <w:t>PLANNED BUDGET</w:t>
            </w:r>
          </w:p>
        </w:tc>
      </w:tr>
      <w:tr w:rsidR="005349F2" w:rsidRPr="00693C14" w14:paraId="3461CA2F" w14:textId="77777777" w:rsidTr="00693C14">
        <w:trPr>
          <w:cantSplit/>
          <w:trHeight w:val="467"/>
        </w:trPr>
        <w:tc>
          <w:tcPr>
            <w:tcW w:w="1102" w:type="pct"/>
            <w:vMerge/>
            <w:shd w:val="clear" w:color="auto" w:fill="CCCCCC"/>
            <w:vAlign w:val="center"/>
          </w:tcPr>
          <w:p w14:paraId="5A44FF5B" w14:textId="77777777" w:rsidR="005349F2" w:rsidRPr="00693C14" w:rsidRDefault="005349F2" w:rsidP="00693C14">
            <w:pPr>
              <w:spacing w:after="0"/>
              <w:contextualSpacing/>
              <w:jc w:val="center"/>
              <w:rPr>
                <w:rFonts w:ascii="Calibri" w:hAnsi="Calibri" w:cs="Arial"/>
                <w:sz w:val="20"/>
                <w:szCs w:val="20"/>
              </w:rPr>
            </w:pPr>
          </w:p>
        </w:tc>
        <w:tc>
          <w:tcPr>
            <w:tcW w:w="1642" w:type="pct"/>
            <w:gridSpan w:val="3"/>
            <w:vMerge/>
            <w:tcBorders>
              <w:bottom w:val="single" w:sz="4" w:space="0" w:color="auto"/>
            </w:tcBorders>
            <w:shd w:val="clear" w:color="auto" w:fill="CCCCCC"/>
            <w:vAlign w:val="center"/>
          </w:tcPr>
          <w:p w14:paraId="2CF5641F" w14:textId="49B68A09" w:rsidR="005349F2" w:rsidRPr="00693C14" w:rsidRDefault="005349F2" w:rsidP="00693C14">
            <w:pPr>
              <w:spacing w:after="0"/>
              <w:contextualSpacing/>
              <w:jc w:val="center"/>
              <w:rPr>
                <w:rFonts w:ascii="Calibri" w:hAnsi="Calibri" w:cs="Arial"/>
                <w:sz w:val="20"/>
                <w:szCs w:val="20"/>
              </w:rPr>
            </w:pPr>
          </w:p>
        </w:tc>
        <w:tc>
          <w:tcPr>
            <w:tcW w:w="500" w:type="pct"/>
            <w:gridSpan w:val="2"/>
            <w:vMerge/>
            <w:shd w:val="clear" w:color="auto" w:fill="FFFF99"/>
            <w:vAlign w:val="center"/>
          </w:tcPr>
          <w:p w14:paraId="5D0EB6ED" w14:textId="77777777" w:rsidR="005349F2" w:rsidRPr="00693C14" w:rsidRDefault="005349F2" w:rsidP="00693C14">
            <w:pPr>
              <w:spacing w:after="0"/>
              <w:contextualSpacing/>
              <w:jc w:val="center"/>
              <w:rPr>
                <w:rFonts w:ascii="Calibri" w:hAnsi="Calibri" w:cs="Arial"/>
                <w:sz w:val="20"/>
                <w:szCs w:val="20"/>
              </w:rPr>
            </w:pPr>
          </w:p>
        </w:tc>
        <w:tc>
          <w:tcPr>
            <w:tcW w:w="306" w:type="pct"/>
            <w:gridSpan w:val="3"/>
            <w:shd w:val="clear" w:color="auto" w:fill="FFFF99"/>
            <w:vAlign w:val="center"/>
          </w:tcPr>
          <w:p w14:paraId="188C8EBF" w14:textId="77777777" w:rsidR="005349F2" w:rsidRPr="00693C14" w:rsidRDefault="005349F2" w:rsidP="00693C14">
            <w:pPr>
              <w:spacing w:after="0"/>
              <w:contextualSpacing/>
              <w:jc w:val="center"/>
              <w:rPr>
                <w:rFonts w:ascii="Calibri" w:hAnsi="Calibri" w:cs="Arial"/>
                <w:sz w:val="20"/>
                <w:szCs w:val="20"/>
              </w:rPr>
            </w:pPr>
            <w:r w:rsidRPr="00693C14">
              <w:rPr>
                <w:rFonts w:ascii="Calibri" w:hAnsi="Calibri" w:cs="Arial"/>
                <w:sz w:val="20"/>
                <w:szCs w:val="20"/>
              </w:rPr>
              <w:t>Funding Source</w:t>
            </w:r>
          </w:p>
        </w:tc>
        <w:tc>
          <w:tcPr>
            <w:tcW w:w="985" w:type="pct"/>
            <w:gridSpan w:val="2"/>
            <w:shd w:val="clear" w:color="auto" w:fill="FFFF99"/>
            <w:vAlign w:val="center"/>
          </w:tcPr>
          <w:p w14:paraId="634CF766" w14:textId="77777777" w:rsidR="005349F2" w:rsidRPr="00693C14" w:rsidRDefault="005349F2" w:rsidP="00693C14">
            <w:pPr>
              <w:spacing w:after="0"/>
              <w:contextualSpacing/>
              <w:jc w:val="center"/>
              <w:rPr>
                <w:rFonts w:ascii="Calibri" w:hAnsi="Calibri" w:cs="Arial"/>
                <w:sz w:val="20"/>
                <w:szCs w:val="20"/>
              </w:rPr>
            </w:pPr>
            <w:r w:rsidRPr="00693C14">
              <w:rPr>
                <w:rFonts w:ascii="Calibri" w:hAnsi="Calibri" w:cs="Arial"/>
                <w:sz w:val="20"/>
                <w:szCs w:val="20"/>
              </w:rPr>
              <w:t>Budget Description</w:t>
            </w:r>
          </w:p>
        </w:tc>
        <w:tc>
          <w:tcPr>
            <w:tcW w:w="465" w:type="pct"/>
            <w:shd w:val="clear" w:color="auto" w:fill="FFFF99"/>
            <w:vAlign w:val="center"/>
          </w:tcPr>
          <w:p w14:paraId="1ABBDEDF" w14:textId="77777777" w:rsidR="005349F2" w:rsidRPr="00693C14" w:rsidRDefault="005349F2" w:rsidP="00693C14">
            <w:pPr>
              <w:spacing w:after="0"/>
              <w:contextualSpacing/>
              <w:jc w:val="center"/>
              <w:rPr>
                <w:rFonts w:ascii="Calibri" w:hAnsi="Calibri" w:cs="Arial"/>
                <w:sz w:val="20"/>
                <w:szCs w:val="20"/>
              </w:rPr>
            </w:pPr>
            <w:r w:rsidRPr="00693C14">
              <w:rPr>
                <w:rFonts w:ascii="Calibri" w:hAnsi="Calibri" w:cs="Arial"/>
                <w:sz w:val="20"/>
                <w:szCs w:val="20"/>
              </w:rPr>
              <w:t>Amount, USD</w:t>
            </w:r>
          </w:p>
        </w:tc>
      </w:tr>
      <w:tr w:rsidR="00A023F8" w:rsidRPr="00693C14" w14:paraId="5EDF4823" w14:textId="77777777" w:rsidTr="00693C14">
        <w:trPr>
          <w:cantSplit/>
          <w:trHeight w:val="58"/>
        </w:trPr>
        <w:tc>
          <w:tcPr>
            <w:tcW w:w="1102" w:type="pct"/>
            <w:vMerge w:val="restart"/>
          </w:tcPr>
          <w:p w14:paraId="3813F3CB" w14:textId="1DBD299A" w:rsidR="00A023F8" w:rsidRPr="00693C14" w:rsidRDefault="00A023F8" w:rsidP="00693C14">
            <w:pPr>
              <w:spacing w:after="0"/>
              <w:contextualSpacing/>
              <w:jc w:val="left"/>
              <w:rPr>
                <w:rFonts w:ascii="Calibri" w:hAnsi="Calibri" w:cs="Arial"/>
                <w:i/>
                <w:sz w:val="20"/>
                <w:szCs w:val="20"/>
              </w:rPr>
            </w:pPr>
            <w:r w:rsidRPr="00693C14">
              <w:rPr>
                <w:rFonts w:ascii="Calibri" w:hAnsi="Calibri" w:cs="Arial"/>
                <w:b/>
                <w:sz w:val="20"/>
                <w:szCs w:val="20"/>
              </w:rPr>
              <w:t xml:space="preserve">OUTPUT 1: </w:t>
            </w:r>
            <w:r w:rsidRPr="00693C14">
              <w:rPr>
                <w:rFonts w:ascii="Calibri" w:hAnsi="Calibri"/>
                <w:sz w:val="20"/>
                <w:szCs w:val="20"/>
              </w:rPr>
              <w:t>T</w:t>
            </w:r>
            <w:r w:rsidRPr="00693C14">
              <w:rPr>
                <w:rFonts w:ascii="Calibri" w:hAnsi="Calibri" w:cstheme="minorHAnsi"/>
                <w:sz w:val="20"/>
                <w:szCs w:val="20"/>
              </w:rPr>
              <w:t>arget populations benefit from livelihood opportunities in income generation.</w:t>
            </w:r>
          </w:p>
        </w:tc>
        <w:tc>
          <w:tcPr>
            <w:tcW w:w="1642" w:type="pct"/>
            <w:gridSpan w:val="3"/>
            <w:vMerge w:val="restart"/>
            <w:vAlign w:val="center"/>
          </w:tcPr>
          <w:p w14:paraId="5DBF34E4" w14:textId="59E8CCA3" w:rsidR="00A023F8" w:rsidRPr="00693C14" w:rsidRDefault="00A023F8" w:rsidP="00693C14">
            <w:pPr>
              <w:spacing w:after="0"/>
              <w:contextualSpacing/>
              <w:rPr>
                <w:rFonts w:ascii="Calibri" w:hAnsi="Calibri"/>
                <w:b/>
                <w:sz w:val="20"/>
                <w:szCs w:val="20"/>
              </w:rPr>
            </w:pPr>
            <w:r w:rsidRPr="00693C14">
              <w:rPr>
                <w:rFonts w:ascii="Calibri" w:eastAsia="MS Gothic" w:hAnsi="Calibri" w:cs="Arial"/>
                <w:color w:val="000000"/>
                <w:kern w:val="2"/>
                <w:sz w:val="20"/>
                <w:szCs w:val="20"/>
              </w:rPr>
              <w:t xml:space="preserve">Conduct rapid assessments of the livelihood needs and labour skills for host community, migrants and </w:t>
            </w:r>
            <w:r>
              <w:rPr>
                <w:rFonts w:ascii="Calibri" w:eastAsia="MS Gothic" w:hAnsi="Calibri" w:cs="Arial"/>
                <w:color w:val="000000"/>
                <w:kern w:val="2"/>
                <w:sz w:val="20"/>
                <w:szCs w:val="20"/>
              </w:rPr>
              <w:t>IDPs</w:t>
            </w:r>
            <w:r w:rsidRPr="00693C14">
              <w:rPr>
                <w:rFonts w:ascii="Calibri" w:hAnsi="Calibri"/>
                <w:b/>
                <w:sz w:val="20"/>
                <w:szCs w:val="20"/>
              </w:rPr>
              <w:t xml:space="preserve"> </w:t>
            </w:r>
          </w:p>
        </w:tc>
        <w:tc>
          <w:tcPr>
            <w:tcW w:w="500" w:type="pct"/>
            <w:gridSpan w:val="2"/>
            <w:vAlign w:val="center"/>
          </w:tcPr>
          <w:p w14:paraId="0B5CE79F"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UNDP</w:t>
            </w:r>
          </w:p>
        </w:tc>
        <w:tc>
          <w:tcPr>
            <w:tcW w:w="306" w:type="pct"/>
            <w:gridSpan w:val="3"/>
            <w:vAlign w:val="center"/>
          </w:tcPr>
          <w:p w14:paraId="062E7B9B"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Japan</w:t>
            </w:r>
          </w:p>
        </w:tc>
        <w:tc>
          <w:tcPr>
            <w:tcW w:w="985" w:type="pct"/>
            <w:gridSpan w:val="2"/>
            <w:vAlign w:val="center"/>
          </w:tcPr>
          <w:p w14:paraId="4048AFAB" w14:textId="2BBD44F0" w:rsidR="00A023F8" w:rsidRPr="00693C14" w:rsidRDefault="00A023F8" w:rsidP="00693C14">
            <w:pPr>
              <w:spacing w:after="0"/>
              <w:contextualSpacing/>
              <w:rPr>
                <w:rFonts w:ascii="Calibri" w:hAnsi="Calibri" w:cs="Arial"/>
                <w:sz w:val="20"/>
                <w:szCs w:val="20"/>
              </w:rPr>
            </w:pPr>
            <w:r>
              <w:rPr>
                <w:rFonts w:ascii="Calibri" w:hAnsi="Calibri" w:cs="Arial"/>
                <w:sz w:val="20"/>
                <w:szCs w:val="20"/>
              </w:rPr>
              <w:t>71200 International Consultants</w:t>
            </w:r>
          </w:p>
        </w:tc>
        <w:tc>
          <w:tcPr>
            <w:tcW w:w="465" w:type="pct"/>
            <w:vMerge w:val="restart"/>
            <w:vAlign w:val="center"/>
          </w:tcPr>
          <w:p w14:paraId="3F87FC1A" w14:textId="598C6C82" w:rsidR="00A023F8" w:rsidRPr="00693C14" w:rsidRDefault="009A4471" w:rsidP="00693C14">
            <w:pPr>
              <w:tabs>
                <w:tab w:val="left" w:pos="0"/>
              </w:tabs>
              <w:spacing w:after="0"/>
              <w:contextualSpacing/>
              <w:jc w:val="right"/>
              <w:rPr>
                <w:rFonts w:ascii="Calibri" w:hAnsi="Calibri" w:cs="Arial"/>
                <w:sz w:val="20"/>
                <w:szCs w:val="20"/>
              </w:rPr>
            </w:pPr>
            <w:r>
              <w:rPr>
                <w:rFonts w:ascii="Calibri" w:hAnsi="Calibri" w:cs="Arial"/>
                <w:sz w:val="20"/>
                <w:szCs w:val="20"/>
              </w:rPr>
              <w:t>33</w:t>
            </w:r>
            <w:r w:rsidR="00F91169">
              <w:rPr>
                <w:rFonts w:ascii="Calibri" w:hAnsi="Calibri" w:cs="Arial"/>
                <w:sz w:val="20"/>
                <w:szCs w:val="20"/>
              </w:rPr>
              <w:t>0,000</w:t>
            </w:r>
          </w:p>
        </w:tc>
      </w:tr>
      <w:tr w:rsidR="00A023F8" w:rsidRPr="00693C14" w14:paraId="29678F70" w14:textId="77777777" w:rsidTr="00693C14">
        <w:trPr>
          <w:cantSplit/>
          <w:trHeight w:val="58"/>
        </w:trPr>
        <w:tc>
          <w:tcPr>
            <w:tcW w:w="1102" w:type="pct"/>
            <w:vMerge/>
          </w:tcPr>
          <w:p w14:paraId="36DF46A0" w14:textId="77777777" w:rsidR="00A023F8" w:rsidRPr="00693C14" w:rsidRDefault="00A023F8" w:rsidP="00693C14">
            <w:pPr>
              <w:spacing w:after="0"/>
              <w:ind w:left="180"/>
              <w:contextualSpacing/>
              <w:jc w:val="left"/>
              <w:rPr>
                <w:rFonts w:ascii="Calibri" w:hAnsi="Calibri" w:cs="Arial"/>
                <w:b/>
                <w:sz w:val="20"/>
                <w:szCs w:val="20"/>
              </w:rPr>
            </w:pPr>
          </w:p>
        </w:tc>
        <w:tc>
          <w:tcPr>
            <w:tcW w:w="1642" w:type="pct"/>
            <w:gridSpan w:val="3"/>
            <w:vMerge/>
            <w:vAlign w:val="center"/>
          </w:tcPr>
          <w:p w14:paraId="3B27CECC" w14:textId="77777777" w:rsidR="00A023F8" w:rsidRPr="00693C14" w:rsidRDefault="00A023F8" w:rsidP="00693C14">
            <w:pPr>
              <w:spacing w:after="0"/>
              <w:contextualSpacing/>
              <w:rPr>
                <w:rFonts w:ascii="Calibri" w:hAnsi="Calibri" w:cs="Arial"/>
                <w:sz w:val="20"/>
                <w:szCs w:val="20"/>
              </w:rPr>
            </w:pPr>
          </w:p>
        </w:tc>
        <w:tc>
          <w:tcPr>
            <w:tcW w:w="500" w:type="pct"/>
            <w:gridSpan w:val="2"/>
            <w:vAlign w:val="center"/>
          </w:tcPr>
          <w:p w14:paraId="01354985"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UNDP</w:t>
            </w:r>
          </w:p>
        </w:tc>
        <w:tc>
          <w:tcPr>
            <w:tcW w:w="306" w:type="pct"/>
            <w:gridSpan w:val="3"/>
            <w:vAlign w:val="center"/>
          </w:tcPr>
          <w:p w14:paraId="74522BE2"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Japan</w:t>
            </w:r>
          </w:p>
        </w:tc>
        <w:tc>
          <w:tcPr>
            <w:tcW w:w="985" w:type="pct"/>
            <w:gridSpan w:val="2"/>
            <w:vAlign w:val="center"/>
          </w:tcPr>
          <w:p w14:paraId="0F6A82A1" w14:textId="620B3B2A" w:rsidR="00A023F8" w:rsidRPr="00693C14" w:rsidRDefault="00A023F8" w:rsidP="00693C14">
            <w:pPr>
              <w:spacing w:after="0"/>
              <w:contextualSpacing/>
              <w:rPr>
                <w:rFonts w:ascii="Calibri" w:hAnsi="Calibri" w:cs="Arial"/>
                <w:sz w:val="20"/>
                <w:szCs w:val="20"/>
              </w:rPr>
            </w:pPr>
            <w:r>
              <w:rPr>
                <w:rFonts w:ascii="Calibri" w:hAnsi="Calibri" w:cs="Arial"/>
                <w:sz w:val="20"/>
                <w:szCs w:val="20"/>
              </w:rPr>
              <w:t>72100 Contractual Services - Companies</w:t>
            </w:r>
          </w:p>
        </w:tc>
        <w:tc>
          <w:tcPr>
            <w:tcW w:w="465" w:type="pct"/>
            <w:vMerge/>
            <w:vAlign w:val="center"/>
          </w:tcPr>
          <w:p w14:paraId="04220D5E" w14:textId="70BF975F" w:rsidR="00A023F8" w:rsidRPr="00693C14" w:rsidRDefault="00A023F8" w:rsidP="00693C14">
            <w:pPr>
              <w:tabs>
                <w:tab w:val="left" w:pos="0"/>
              </w:tabs>
              <w:spacing w:after="0"/>
              <w:contextualSpacing/>
              <w:jc w:val="right"/>
              <w:rPr>
                <w:rFonts w:ascii="Calibri" w:hAnsi="Calibri" w:cs="Arial"/>
                <w:sz w:val="20"/>
                <w:szCs w:val="20"/>
              </w:rPr>
            </w:pPr>
          </w:p>
        </w:tc>
      </w:tr>
      <w:tr w:rsidR="00A023F8" w:rsidRPr="00693C14" w14:paraId="65126245" w14:textId="77777777" w:rsidTr="00693C14">
        <w:trPr>
          <w:cantSplit/>
          <w:trHeight w:val="58"/>
        </w:trPr>
        <w:tc>
          <w:tcPr>
            <w:tcW w:w="1102" w:type="pct"/>
            <w:vMerge/>
          </w:tcPr>
          <w:p w14:paraId="04F68FB0" w14:textId="77777777" w:rsidR="00A023F8" w:rsidRPr="00693C14" w:rsidRDefault="00A023F8" w:rsidP="00693C14">
            <w:pPr>
              <w:spacing w:after="0"/>
              <w:ind w:left="180"/>
              <w:contextualSpacing/>
              <w:jc w:val="left"/>
              <w:rPr>
                <w:rFonts w:ascii="Calibri" w:hAnsi="Calibri" w:cs="Arial"/>
                <w:i/>
                <w:sz w:val="20"/>
                <w:szCs w:val="20"/>
              </w:rPr>
            </w:pPr>
          </w:p>
        </w:tc>
        <w:tc>
          <w:tcPr>
            <w:tcW w:w="1642" w:type="pct"/>
            <w:gridSpan w:val="3"/>
            <w:vMerge/>
            <w:vAlign w:val="center"/>
          </w:tcPr>
          <w:p w14:paraId="24D42F6D" w14:textId="77777777" w:rsidR="00A023F8" w:rsidRPr="00693C14" w:rsidRDefault="00A023F8" w:rsidP="00693C14">
            <w:pPr>
              <w:spacing w:after="0"/>
              <w:contextualSpacing/>
              <w:rPr>
                <w:rFonts w:ascii="Calibri" w:hAnsi="Calibri" w:cs="Arial"/>
                <w:sz w:val="20"/>
                <w:szCs w:val="20"/>
              </w:rPr>
            </w:pPr>
          </w:p>
        </w:tc>
        <w:tc>
          <w:tcPr>
            <w:tcW w:w="500" w:type="pct"/>
            <w:gridSpan w:val="2"/>
            <w:vAlign w:val="center"/>
          </w:tcPr>
          <w:p w14:paraId="7B2C2B21"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UNDP</w:t>
            </w:r>
          </w:p>
        </w:tc>
        <w:tc>
          <w:tcPr>
            <w:tcW w:w="306" w:type="pct"/>
            <w:gridSpan w:val="3"/>
            <w:vAlign w:val="center"/>
          </w:tcPr>
          <w:p w14:paraId="687F9C94"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Japan</w:t>
            </w:r>
          </w:p>
        </w:tc>
        <w:tc>
          <w:tcPr>
            <w:tcW w:w="985" w:type="pct"/>
            <w:gridSpan w:val="2"/>
            <w:vAlign w:val="center"/>
          </w:tcPr>
          <w:p w14:paraId="02A6C2E5" w14:textId="38A3EFB5" w:rsidR="00A023F8" w:rsidRPr="00693C14" w:rsidRDefault="00A023F8" w:rsidP="00693C14">
            <w:pPr>
              <w:spacing w:after="0"/>
              <w:contextualSpacing/>
              <w:rPr>
                <w:rFonts w:ascii="Calibri" w:hAnsi="Calibri" w:cs="Arial"/>
                <w:sz w:val="20"/>
                <w:szCs w:val="20"/>
              </w:rPr>
            </w:pPr>
            <w:r>
              <w:rPr>
                <w:rFonts w:ascii="Calibri" w:hAnsi="Calibri" w:cs="Arial"/>
                <w:sz w:val="20"/>
                <w:szCs w:val="20"/>
              </w:rPr>
              <w:t>71600 Travel</w:t>
            </w:r>
          </w:p>
        </w:tc>
        <w:tc>
          <w:tcPr>
            <w:tcW w:w="465" w:type="pct"/>
            <w:vMerge/>
            <w:vAlign w:val="center"/>
          </w:tcPr>
          <w:p w14:paraId="528F7899" w14:textId="7D2D5106" w:rsidR="00A023F8" w:rsidRPr="00693C14" w:rsidRDefault="00A023F8" w:rsidP="00693C14">
            <w:pPr>
              <w:tabs>
                <w:tab w:val="left" w:pos="0"/>
              </w:tabs>
              <w:spacing w:after="0"/>
              <w:contextualSpacing/>
              <w:jc w:val="right"/>
              <w:rPr>
                <w:rFonts w:ascii="Calibri" w:hAnsi="Calibri" w:cs="Arial"/>
                <w:sz w:val="20"/>
                <w:szCs w:val="20"/>
              </w:rPr>
            </w:pPr>
          </w:p>
        </w:tc>
      </w:tr>
      <w:tr w:rsidR="00A023F8" w:rsidRPr="00693C14" w14:paraId="79D13D50" w14:textId="77777777" w:rsidTr="00693C14">
        <w:trPr>
          <w:cantSplit/>
          <w:trHeight w:val="58"/>
        </w:trPr>
        <w:tc>
          <w:tcPr>
            <w:tcW w:w="1102" w:type="pct"/>
            <w:vMerge/>
          </w:tcPr>
          <w:p w14:paraId="0D50D600" w14:textId="77777777" w:rsidR="00A023F8" w:rsidRPr="00693C14" w:rsidRDefault="00A023F8" w:rsidP="00693C14">
            <w:pPr>
              <w:spacing w:after="0"/>
              <w:ind w:left="180"/>
              <w:contextualSpacing/>
              <w:jc w:val="left"/>
              <w:rPr>
                <w:rFonts w:ascii="Calibri" w:hAnsi="Calibri" w:cs="Arial"/>
                <w:i/>
                <w:sz w:val="20"/>
                <w:szCs w:val="20"/>
              </w:rPr>
            </w:pPr>
          </w:p>
        </w:tc>
        <w:tc>
          <w:tcPr>
            <w:tcW w:w="1642" w:type="pct"/>
            <w:gridSpan w:val="3"/>
            <w:vMerge w:val="restart"/>
            <w:vAlign w:val="center"/>
          </w:tcPr>
          <w:p w14:paraId="3C9CD037" w14:textId="2D54D129" w:rsidR="00A023F8" w:rsidRPr="00693C14" w:rsidRDefault="00A023F8" w:rsidP="00693C14">
            <w:pPr>
              <w:spacing w:after="0"/>
              <w:contextualSpacing/>
              <w:rPr>
                <w:rFonts w:ascii="Calibri" w:hAnsi="Calibri" w:cs="Arial"/>
                <w:sz w:val="20"/>
                <w:szCs w:val="20"/>
              </w:rPr>
            </w:pPr>
            <w:r w:rsidRPr="00693C14">
              <w:rPr>
                <w:rFonts w:ascii="Calibri" w:eastAsia="MS Gothic" w:hAnsi="Calibri" w:cs="Arial"/>
                <w:color w:val="000000"/>
                <w:kern w:val="2"/>
                <w:sz w:val="20"/>
                <w:szCs w:val="20"/>
              </w:rPr>
              <w:t xml:space="preserve">Create livelihood asset replacement opportunities particularly among youth and women </w:t>
            </w:r>
            <w:r w:rsidRPr="00693C14">
              <w:rPr>
                <w:rFonts w:ascii="Calibri" w:hAnsi="Calibri" w:cs="Arial"/>
                <w:sz w:val="20"/>
                <w:szCs w:val="20"/>
              </w:rPr>
              <w:t xml:space="preserve">(in the form of small business grants, </w:t>
            </w:r>
            <w:r w:rsidR="00DD0E3B">
              <w:rPr>
                <w:rFonts w:ascii="Calibri" w:hAnsi="Calibri" w:cs="Arial"/>
                <w:sz w:val="20"/>
                <w:szCs w:val="20"/>
              </w:rPr>
              <w:t>business development training</w:t>
            </w:r>
            <w:r w:rsidR="00FB23CA">
              <w:rPr>
                <w:rFonts w:ascii="Calibri" w:hAnsi="Calibri" w:cs="Arial"/>
                <w:sz w:val="20"/>
                <w:szCs w:val="20"/>
              </w:rPr>
              <w:t xml:space="preserve"> sessions, </w:t>
            </w:r>
            <w:r w:rsidRPr="00693C14">
              <w:rPr>
                <w:rFonts w:ascii="Calibri" w:hAnsi="Calibri" w:cs="Arial"/>
                <w:sz w:val="20"/>
                <w:szCs w:val="20"/>
              </w:rPr>
              <w:t xml:space="preserve">asset tool kits or savings schemes)  </w:t>
            </w:r>
          </w:p>
        </w:tc>
        <w:tc>
          <w:tcPr>
            <w:tcW w:w="500" w:type="pct"/>
            <w:gridSpan w:val="2"/>
            <w:vAlign w:val="center"/>
          </w:tcPr>
          <w:p w14:paraId="66ECB096"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UNDP</w:t>
            </w:r>
          </w:p>
        </w:tc>
        <w:tc>
          <w:tcPr>
            <w:tcW w:w="306" w:type="pct"/>
            <w:gridSpan w:val="3"/>
            <w:vAlign w:val="center"/>
          </w:tcPr>
          <w:p w14:paraId="213F45D5"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Japan</w:t>
            </w:r>
          </w:p>
        </w:tc>
        <w:tc>
          <w:tcPr>
            <w:tcW w:w="985" w:type="pct"/>
            <w:gridSpan w:val="2"/>
            <w:vAlign w:val="center"/>
          </w:tcPr>
          <w:p w14:paraId="1366BFF8" w14:textId="526B5A60" w:rsidR="00A023F8" w:rsidRPr="00693C14" w:rsidRDefault="00A023F8" w:rsidP="00693C14">
            <w:pPr>
              <w:spacing w:after="0"/>
              <w:contextualSpacing/>
              <w:rPr>
                <w:rFonts w:ascii="Calibri" w:hAnsi="Calibri" w:cs="Arial"/>
                <w:sz w:val="20"/>
                <w:szCs w:val="20"/>
              </w:rPr>
            </w:pPr>
            <w:r w:rsidRPr="00AA2E83">
              <w:rPr>
                <w:rFonts w:ascii="Calibri" w:hAnsi="Calibri" w:cs="Arial"/>
                <w:sz w:val="20"/>
                <w:szCs w:val="20"/>
              </w:rPr>
              <w:t>72100 Contractual Services - Companies</w:t>
            </w:r>
          </w:p>
        </w:tc>
        <w:tc>
          <w:tcPr>
            <w:tcW w:w="465" w:type="pct"/>
            <w:vMerge w:val="restart"/>
            <w:vAlign w:val="center"/>
          </w:tcPr>
          <w:p w14:paraId="67DF3A6C" w14:textId="043086D1" w:rsidR="00A023F8" w:rsidRPr="00693C14" w:rsidRDefault="003F6C9C" w:rsidP="00693C14">
            <w:pPr>
              <w:tabs>
                <w:tab w:val="left" w:pos="0"/>
              </w:tabs>
              <w:spacing w:after="0"/>
              <w:contextualSpacing/>
              <w:jc w:val="right"/>
              <w:rPr>
                <w:rFonts w:ascii="Calibri" w:hAnsi="Calibri" w:cs="Arial"/>
                <w:sz w:val="20"/>
                <w:szCs w:val="20"/>
              </w:rPr>
            </w:pPr>
            <w:r>
              <w:rPr>
                <w:rFonts w:ascii="Calibri" w:hAnsi="Calibri" w:cs="Arial"/>
                <w:sz w:val="20"/>
                <w:szCs w:val="20"/>
              </w:rPr>
              <w:t>1,</w:t>
            </w:r>
            <w:r w:rsidR="002F0631">
              <w:rPr>
                <w:rFonts w:ascii="Calibri" w:hAnsi="Calibri" w:cs="Arial"/>
                <w:sz w:val="20"/>
                <w:szCs w:val="20"/>
              </w:rPr>
              <w:t>00</w:t>
            </w:r>
            <w:r w:rsidR="00173781">
              <w:rPr>
                <w:rFonts w:ascii="Calibri" w:hAnsi="Calibri" w:cs="Arial"/>
                <w:sz w:val="20"/>
                <w:szCs w:val="20"/>
              </w:rPr>
              <w:t>0,000</w:t>
            </w:r>
          </w:p>
        </w:tc>
      </w:tr>
      <w:tr w:rsidR="00A023F8" w:rsidRPr="00693C14" w14:paraId="4DE4272A" w14:textId="77777777" w:rsidTr="00693C14">
        <w:trPr>
          <w:cantSplit/>
          <w:trHeight w:val="242"/>
        </w:trPr>
        <w:tc>
          <w:tcPr>
            <w:tcW w:w="1102" w:type="pct"/>
            <w:vMerge/>
          </w:tcPr>
          <w:p w14:paraId="6B2A1E78" w14:textId="77777777" w:rsidR="00A023F8" w:rsidRPr="00693C14" w:rsidRDefault="00A023F8" w:rsidP="00693C14">
            <w:pPr>
              <w:spacing w:after="0"/>
              <w:contextualSpacing/>
              <w:jc w:val="left"/>
              <w:rPr>
                <w:rFonts w:ascii="Calibri" w:hAnsi="Calibri" w:cs="Arial"/>
                <w:sz w:val="20"/>
                <w:szCs w:val="20"/>
              </w:rPr>
            </w:pPr>
          </w:p>
        </w:tc>
        <w:tc>
          <w:tcPr>
            <w:tcW w:w="1642" w:type="pct"/>
            <w:gridSpan w:val="3"/>
            <w:vMerge/>
            <w:vAlign w:val="center"/>
          </w:tcPr>
          <w:p w14:paraId="2D39CF9A" w14:textId="77777777" w:rsidR="00A023F8" w:rsidRPr="00693C14" w:rsidRDefault="00A023F8" w:rsidP="00693C14">
            <w:pPr>
              <w:spacing w:after="0"/>
              <w:contextualSpacing/>
              <w:rPr>
                <w:rFonts w:ascii="Calibri" w:hAnsi="Calibri" w:cs="Arial"/>
                <w:sz w:val="20"/>
                <w:szCs w:val="20"/>
              </w:rPr>
            </w:pPr>
          </w:p>
        </w:tc>
        <w:tc>
          <w:tcPr>
            <w:tcW w:w="500" w:type="pct"/>
            <w:gridSpan w:val="2"/>
            <w:vAlign w:val="center"/>
          </w:tcPr>
          <w:p w14:paraId="1DDE23EF"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UNDP</w:t>
            </w:r>
          </w:p>
        </w:tc>
        <w:tc>
          <w:tcPr>
            <w:tcW w:w="306" w:type="pct"/>
            <w:gridSpan w:val="3"/>
            <w:vAlign w:val="center"/>
          </w:tcPr>
          <w:p w14:paraId="6E154B42"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Japan</w:t>
            </w:r>
          </w:p>
        </w:tc>
        <w:tc>
          <w:tcPr>
            <w:tcW w:w="985" w:type="pct"/>
            <w:gridSpan w:val="2"/>
            <w:vAlign w:val="center"/>
          </w:tcPr>
          <w:p w14:paraId="41F50F19" w14:textId="3F27214E" w:rsidR="00A023F8" w:rsidRPr="00693C14" w:rsidRDefault="00A023F8" w:rsidP="00693C14">
            <w:pPr>
              <w:spacing w:after="0"/>
              <w:contextualSpacing/>
              <w:rPr>
                <w:rFonts w:ascii="Calibri" w:hAnsi="Calibri" w:cs="Arial"/>
                <w:b/>
                <w:sz w:val="20"/>
                <w:szCs w:val="20"/>
              </w:rPr>
            </w:pPr>
            <w:r>
              <w:rPr>
                <w:rFonts w:ascii="Calibri" w:hAnsi="Calibri" w:cs="Arial"/>
                <w:b/>
                <w:sz w:val="20"/>
                <w:szCs w:val="20"/>
              </w:rPr>
              <w:t>72600 Grants</w:t>
            </w:r>
          </w:p>
        </w:tc>
        <w:tc>
          <w:tcPr>
            <w:tcW w:w="465" w:type="pct"/>
            <w:vMerge/>
            <w:vAlign w:val="center"/>
          </w:tcPr>
          <w:p w14:paraId="7151101D" w14:textId="103B078C" w:rsidR="00A023F8" w:rsidRPr="00693C14" w:rsidRDefault="00A023F8" w:rsidP="00693C14">
            <w:pPr>
              <w:spacing w:after="0"/>
              <w:contextualSpacing/>
              <w:jc w:val="right"/>
              <w:rPr>
                <w:rFonts w:ascii="Calibri" w:hAnsi="Calibri" w:cs="Arial"/>
                <w:sz w:val="20"/>
                <w:szCs w:val="20"/>
              </w:rPr>
            </w:pPr>
          </w:p>
        </w:tc>
      </w:tr>
      <w:tr w:rsidR="00A023F8" w:rsidRPr="00693C14" w14:paraId="19ADB97B" w14:textId="77777777" w:rsidTr="007C6F42">
        <w:trPr>
          <w:cantSplit/>
          <w:trHeight w:val="90"/>
        </w:trPr>
        <w:tc>
          <w:tcPr>
            <w:tcW w:w="1102" w:type="pct"/>
            <w:vMerge/>
          </w:tcPr>
          <w:p w14:paraId="44BF4F33" w14:textId="77777777" w:rsidR="00A023F8" w:rsidRPr="00693C14" w:rsidRDefault="00A023F8" w:rsidP="00693C14">
            <w:pPr>
              <w:spacing w:after="0"/>
              <w:contextualSpacing/>
              <w:jc w:val="left"/>
              <w:rPr>
                <w:rFonts w:ascii="Calibri" w:hAnsi="Calibri" w:cs="Arial"/>
                <w:sz w:val="20"/>
                <w:szCs w:val="20"/>
              </w:rPr>
            </w:pPr>
          </w:p>
        </w:tc>
        <w:tc>
          <w:tcPr>
            <w:tcW w:w="1642" w:type="pct"/>
            <w:gridSpan w:val="3"/>
            <w:vMerge/>
            <w:vAlign w:val="center"/>
          </w:tcPr>
          <w:p w14:paraId="2D8491BB" w14:textId="77777777" w:rsidR="00A023F8" w:rsidRPr="00693C14" w:rsidRDefault="00A023F8" w:rsidP="00693C14">
            <w:pPr>
              <w:spacing w:after="0"/>
              <w:contextualSpacing/>
              <w:rPr>
                <w:rFonts w:ascii="Calibri" w:hAnsi="Calibri" w:cs="Arial"/>
                <w:sz w:val="20"/>
                <w:szCs w:val="20"/>
              </w:rPr>
            </w:pPr>
          </w:p>
        </w:tc>
        <w:tc>
          <w:tcPr>
            <w:tcW w:w="500" w:type="pct"/>
            <w:gridSpan w:val="2"/>
            <w:vAlign w:val="center"/>
          </w:tcPr>
          <w:p w14:paraId="51D7898D"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UNDP</w:t>
            </w:r>
          </w:p>
        </w:tc>
        <w:tc>
          <w:tcPr>
            <w:tcW w:w="306" w:type="pct"/>
            <w:gridSpan w:val="3"/>
            <w:vAlign w:val="center"/>
          </w:tcPr>
          <w:p w14:paraId="54C4BF29"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Japan</w:t>
            </w:r>
          </w:p>
        </w:tc>
        <w:tc>
          <w:tcPr>
            <w:tcW w:w="985" w:type="pct"/>
            <w:gridSpan w:val="2"/>
            <w:vAlign w:val="center"/>
          </w:tcPr>
          <w:p w14:paraId="1AE6790A" w14:textId="306E7030" w:rsidR="00A023F8" w:rsidRPr="00693C14" w:rsidRDefault="00A023F8" w:rsidP="00693C14">
            <w:pPr>
              <w:spacing w:after="0"/>
              <w:contextualSpacing/>
              <w:rPr>
                <w:rFonts w:ascii="Calibri" w:hAnsi="Calibri" w:cs="Arial"/>
                <w:sz w:val="20"/>
                <w:szCs w:val="20"/>
              </w:rPr>
            </w:pPr>
            <w:r>
              <w:rPr>
                <w:rFonts w:ascii="Calibri" w:hAnsi="Calibri" w:cs="Arial"/>
                <w:sz w:val="20"/>
                <w:szCs w:val="20"/>
              </w:rPr>
              <w:t>72200 Equipment and Furniture</w:t>
            </w:r>
          </w:p>
        </w:tc>
        <w:tc>
          <w:tcPr>
            <w:tcW w:w="465" w:type="pct"/>
            <w:vMerge/>
            <w:vAlign w:val="center"/>
          </w:tcPr>
          <w:p w14:paraId="16BE32C0" w14:textId="4F373DE2" w:rsidR="00A023F8" w:rsidRPr="00693C14" w:rsidRDefault="00A023F8" w:rsidP="00693C14">
            <w:pPr>
              <w:spacing w:after="0"/>
              <w:contextualSpacing/>
              <w:jc w:val="right"/>
              <w:rPr>
                <w:rFonts w:ascii="Calibri" w:hAnsi="Calibri" w:cs="Arial"/>
                <w:sz w:val="20"/>
                <w:szCs w:val="20"/>
              </w:rPr>
            </w:pPr>
          </w:p>
        </w:tc>
      </w:tr>
      <w:tr w:rsidR="00A023F8" w:rsidRPr="00693C14" w14:paraId="6C182EA4" w14:textId="77777777" w:rsidTr="007C6F42">
        <w:trPr>
          <w:cantSplit/>
          <w:trHeight w:val="90"/>
        </w:trPr>
        <w:tc>
          <w:tcPr>
            <w:tcW w:w="1102" w:type="pct"/>
            <w:vMerge/>
          </w:tcPr>
          <w:p w14:paraId="6A80CA9F" w14:textId="77777777" w:rsidR="00A023F8" w:rsidRPr="00693C14" w:rsidRDefault="00A023F8" w:rsidP="00693C14">
            <w:pPr>
              <w:spacing w:after="0"/>
              <w:contextualSpacing/>
              <w:jc w:val="left"/>
              <w:rPr>
                <w:rFonts w:ascii="Calibri" w:hAnsi="Calibri" w:cs="Arial"/>
                <w:sz w:val="20"/>
                <w:szCs w:val="20"/>
              </w:rPr>
            </w:pPr>
          </w:p>
        </w:tc>
        <w:tc>
          <w:tcPr>
            <w:tcW w:w="1642" w:type="pct"/>
            <w:gridSpan w:val="3"/>
            <w:vMerge/>
            <w:tcBorders>
              <w:bottom w:val="single" w:sz="4" w:space="0" w:color="auto"/>
            </w:tcBorders>
            <w:vAlign w:val="center"/>
          </w:tcPr>
          <w:p w14:paraId="69EA36C9" w14:textId="77777777" w:rsidR="00A023F8" w:rsidRPr="00693C14" w:rsidRDefault="00A023F8" w:rsidP="00693C14">
            <w:pPr>
              <w:spacing w:after="0"/>
              <w:contextualSpacing/>
              <w:rPr>
                <w:rFonts w:ascii="Calibri" w:hAnsi="Calibri" w:cs="Arial"/>
                <w:sz w:val="20"/>
                <w:szCs w:val="20"/>
              </w:rPr>
            </w:pPr>
          </w:p>
        </w:tc>
        <w:tc>
          <w:tcPr>
            <w:tcW w:w="500" w:type="pct"/>
            <w:gridSpan w:val="2"/>
            <w:vAlign w:val="center"/>
          </w:tcPr>
          <w:p w14:paraId="5944B4FA" w14:textId="7AAF75E4" w:rsidR="00A023F8" w:rsidRPr="00693C14" w:rsidRDefault="00A023F8" w:rsidP="00693C14">
            <w:pPr>
              <w:spacing w:after="0"/>
              <w:contextualSpacing/>
              <w:jc w:val="left"/>
              <w:rPr>
                <w:rFonts w:ascii="Calibri" w:hAnsi="Calibri" w:cs="Arial"/>
                <w:sz w:val="20"/>
                <w:szCs w:val="20"/>
              </w:rPr>
            </w:pPr>
            <w:r>
              <w:rPr>
                <w:rFonts w:ascii="Calibri" w:hAnsi="Calibri" w:cs="Arial"/>
                <w:sz w:val="20"/>
                <w:szCs w:val="20"/>
              </w:rPr>
              <w:t>UNDP</w:t>
            </w:r>
          </w:p>
        </w:tc>
        <w:tc>
          <w:tcPr>
            <w:tcW w:w="306" w:type="pct"/>
            <w:gridSpan w:val="3"/>
            <w:vAlign w:val="center"/>
          </w:tcPr>
          <w:p w14:paraId="3BDFD39B" w14:textId="693F14D5" w:rsidR="00A023F8" w:rsidRPr="00693C14" w:rsidRDefault="00A023F8" w:rsidP="00693C14">
            <w:pPr>
              <w:spacing w:after="0"/>
              <w:contextualSpacing/>
              <w:jc w:val="left"/>
              <w:rPr>
                <w:rFonts w:ascii="Calibri" w:hAnsi="Calibri" w:cs="Arial"/>
                <w:sz w:val="20"/>
                <w:szCs w:val="20"/>
              </w:rPr>
            </w:pPr>
            <w:r>
              <w:rPr>
                <w:rFonts w:ascii="Calibri" w:hAnsi="Calibri" w:cs="Arial"/>
                <w:sz w:val="20"/>
                <w:szCs w:val="20"/>
              </w:rPr>
              <w:t>Japan</w:t>
            </w:r>
          </w:p>
        </w:tc>
        <w:tc>
          <w:tcPr>
            <w:tcW w:w="985" w:type="pct"/>
            <w:gridSpan w:val="2"/>
            <w:vAlign w:val="center"/>
          </w:tcPr>
          <w:p w14:paraId="14C5B3A8" w14:textId="3AA4B1A6" w:rsidR="00A023F8" w:rsidRDefault="00A023F8" w:rsidP="00693C14">
            <w:pPr>
              <w:spacing w:after="0"/>
              <w:contextualSpacing/>
              <w:rPr>
                <w:rFonts w:ascii="Calibri" w:hAnsi="Calibri" w:cs="Arial"/>
                <w:sz w:val="20"/>
                <w:szCs w:val="20"/>
              </w:rPr>
            </w:pPr>
            <w:r>
              <w:rPr>
                <w:rFonts w:ascii="Calibri" w:hAnsi="Calibri" w:cs="Arial"/>
                <w:sz w:val="20"/>
                <w:szCs w:val="20"/>
              </w:rPr>
              <w:t>71600 Travel</w:t>
            </w:r>
          </w:p>
        </w:tc>
        <w:tc>
          <w:tcPr>
            <w:tcW w:w="465" w:type="pct"/>
            <w:vMerge/>
            <w:tcBorders>
              <w:bottom w:val="single" w:sz="4" w:space="0" w:color="auto"/>
            </w:tcBorders>
            <w:vAlign w:val="center"/>
          </w:tcPr>
          <w:p w14:paraId="7F89FF68" w14:textId="77777777" w:rsidR="00A023F8" w:rsidRPr="00693C14" w:rsidRDefault="00A023F8" w:rsidP="00693C14">
            <w:pPr>
              <w:spacing w:after="0"/>
              <w:contextualSpacing/>
              <w:jc w:val="right"/>
              <w:rPr>
                <w:rFonts w:ascii="Calibri" w:hAnsi="Calibri" w:cs="Arial"/>
                <w:sz w:val="20"/>
                <w:szCs w:val="20"/>
              </w:rPr>
            </w:pPr>
          </w:p>
        </w:tc>
      </w:tr>
      <w:tr w:rsidR="00A023F8" w:rsidRPr="00693C14" w14:paraId="43CFB131" w14:textId="77777777" w:rsidTr="007C6F42">
        <w:trPr>
          <w:cantSplit/>
          <w:trHeight w:val="90"/>
        </w:trPr>
        <w:tc>
          <w:tcPr>
            <w:tcW w:w="1102" w:type="pct"/>
            <w:vMerge/>
          </w:tcPr>
          <w:p w14:paraId="38B17355" w14:textId="77777777" w:rsidR="00A023F8" w:rsidRPr="00693C14" w:rsidRDefault="00A023F8" w:rsidP="00693C14">
            <w:pPr>
              <w:spacing w:after="0"/>
              <w:contextualSpacing/>
              <w:jc w:val="left"/>
              <w:rPr>
                <w:rFonts w:ascii="Calibri" w:hAnsi="Calibri" w:cs="Arial"/>
                <w:sz w:val="20"/>
                <w:szCs w:val="20"/>
              </w:rPr>
            </w:pPr>
          </w:p>
        </w:tc>
        <w:tc>
          <w:tcPr>
            <w:tcW w:w="1642" w:type="pct"/>
            <w:gridSpan w:val="3"/>
            <w:vMerge w:val="restart"/>
            <w:tcBorders>
              <w:top w:val="single" w:sz="4" w:space="0" w:color="auto"/>
            </w:tcBorders>
            <w:vAlign w:val="center"/>
          </w:tcPr>
          <w:p w14:paraId="189CC3A5" w14:textId="58E48705" w:rsidR="00A023F8" w:rsidRPr="00693C14" w:rsidRDefault="00A023F8" w:rsidP="00693C14">
            <w:pPr>
              <w:spacing w:after="0"/>
              <w:contextualSpacing/>
              <w:rPr>
                <w:rFonts w:ascii="Calibri" w:hAnsi="Calibri" w:cs="Arial"/>
                <w:sz w:val="20"/>
                <w:szCs w:val="20"/>
              </w:rPr>
            </w:pPr>
            <w:r w:rsidRPr="00693C14">
              <w:rPr>
                <w:rFonts w:ascii="Calibri" w:hAnsi="Calibri" w:cs="Arial"/>
                <w:sz w:val="20"/>
                <w:szCs w:val="20"/>
              </w:rPr>
              <w:t>Direct job placement through creating a platform of skilled workers to match with private sector employers. Networking and creating a database of companies looking for skilled workers as well as youth CVs looking for job opportunities</w:t>
            </w:r>
          </w:p>
        </w:tc>
        <w:tc>
          <w:tcPr>
            <w:tcW w:w="500" w:type="pct"/>
            <w:gridSpan w:val="2"/>
            <w:vAlign w:val="center"/>
          </w:tcPr>
          <w:p w14:paraId="510A48EA"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UNDP</w:t>
            </w:r>
          </w:p>
        </w:tc>
        <w:tc>
          <w:tcPr>
            <w:tcW w:w="306" w:type="pct"/>
            <w:gridSpan w:val="3"/>
            <w:vAlign w:val="center"/>
          </w:tcPr>
          <w:p w14:paraId="129C06C9"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Japan</w:t>
            </w:r>
          </w:p>
        </w:tc>
        <w:tc>
          <w:tcPr>
            <w:tcW w:w="985" w:type="pct"/>
            <w:gridSpan w:val="2"/>
            <w:vAlign w:val="center"/>
          </w:tcPr>
          <w:p w14:paraId="06BD1554" w14:textId="7D827A8D" w:rsidR="00A023F8" w:rsidRPr="00693C14" w:rsidRDefault="00A023F8" w:rsidP="00693C14">
            <w:pPr>
              <w:spacing w:after="0"/>
              <w:contextualSpacing/>
              <w:rPr>
                <w:rFonts w:ascii="Calibri" w:hAnsi="Calibri" w:cs="Arial"/>
                <w:b/>
                <w:sz w:val="20"/>
                <w:szCs w:val="20"/>
              </w:rPr>
            </w:pPr>
            <w:r>
              <w:rPr>
                <w:rFonts w:ascii="Calibri" w:hAnsi="Calibri" w:cs="Arial"/>
                <w:b/>
                <w:sz w:val="20"/>
                <w:szCs w:val="20"/>
              </w:rPr>
              <w:t>72100 Contractual Service - Companies</w:t>
            </w:r>
          </w:p>
        </w:tc>
        <w:tc>
          <w:tcPr>
            <w:tcW w:w="465" w:type="pct"/>
            <w:vMerge w:val="restart"/>
            <w:tcBorders>
              <w:top w:val="single" w:sz="4" w:space="0" w:color="auto"/>
            </w:tcBorders>
            <w:vAlign w:val="center"/>
          </w:tcPr>
          <w:p w14:paraId="1EE7F5DC" w14:textId="54238B6C" w:rsidR="00A023F8" w:rsidRPr="00693C14" w:rsidRDefault="00271007" w:rsidP="00693C14">
            <w:pPr>
              <w:spacing w:after="0"/>
              <w:contextualSpacing/>
              <w:jc w:val="right"/>
              <w:rPr>
                <w:rFonts w:ascii="Calibri" w:hAnsi="Calibri" w:cs="Arial"/>
                <w:sz w:val="20"/>
                <w:szCs w:val="20"/>
              </w:rPr>
            </w:pPr>
            <w:r>
              <w:rPr>
                <w:rFonts w:ascii="Calibri" w:hAnsi="Calibri" w:cs="Arial"/>
                <w:sz w:val="20"/>
                <w:szCs w:val="20"/>
              </w:rPr>
              <w:t>1</w:t>
            </w:r>
            <w:r w:rsidR="009A4471">
              <w:rPr>
                <w:rFonts w:ascii="Calibri" w:hAnsi="Calibri" w:cs="Arial"/>
                <w:sz w:val="20"/>
                <w:szCs w:val="20"/>
              </w:rPr>
              <w:t>0</w:t>
            </w:r>
            <w:r w:rsidR="00286FC2">
              <w:rPr>
                <w:rFonts w:ascii="Calibri" w:hAnsi="Calibri" w:cs="Arial"/>
                <w:sz w:val="20"/>
                <w:szCs w:val="20"/>
              </w:rPr>
              <w:t>0,000</w:t>
            </w:r>
          </w:p>
        </w:tc>
      </w:tr>
      <w:tr w:rsidR="00A023F8" w:rsidRPr="00693C14" w14:paraId="39282D57" w14:textId="77777777" w:rsidTr="007C6F42">
        <w:trPr>
          <w:cantSplit/>
          <w:trHeight w:val="186"/>
        </w:trPr>
        <w:tc>
          <w:tcPr>
            <w:tcW w:w="1102" w:type="pct"/>
            <w:vMerge/>
          </w:tcPr>
          <w:p w14:paraId="11CD8E74" w14:textId="77777777" w:rsidR="00A023F8" w:rsidRPr="00693C14" w:rsidRDefault="00A023F8" w:rsidP="00693C14">
            <w:pPr>
              <w:spacing w:after="0"/>
              <w:contextualSpacing/>
              <w:jc w:val="left"/>
              <w:rPr>
                <w:rFonts w:ascii="Calibri" w:hAnsi="Calibri" w:cs="Arial"/>
                <w:sz w:val="20"/>
                <w:szCs w:val="20"/>
              </w:rPr>
            </w:pPr>
          </w:p>
        </w:tc>
        <w:tc>
          <w:tcPr>
            <w:tcW w:w="1642" w:type="pct"/>
            <w:gridSpan w:val="3"/>
            <w:vMerge/>
            <w:vAlign w:val="center"/>
          </w:tcPr>
          <w:p w14:paraId="0332EF97" w14:textId="77777777" w:rsidR="00A023F8" w:rsidRPr="00693C14" w:rsidRDefault="00A023F8" w:rsidP="00693C14">
            <w:pPr>
              <w:spacing w:after="0"/>
              <w:contextualSpacing/>
              <w:rPr>
                <w:rFonts w:ascii="Calibri" w:hAnsi="Calibri" w:cs="Arial"/>
                <w:sz w:val="20"/>
                <w:szCs w:val="20"/>
              </w:rPr>
            </w:pPr>
          </w:p>
        </w:tc>
        <w:tc>
          <w:tcPr>
            <w:tcW w:w="500" w:type="pct"/>
            <w:gridSpan w:val="2"/>
            <w:vAlign w:val="center"/>
          </w:tcPr>
          <w:p w14:paraId="541E3172"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UNDP</w:t>
            </w:r>
          </w:p>
        </w:tc>
        <w:tc>
          <w:tcPr>
            <w:tcW w:w="306" w:type="pct"/>
            <w:gridSpan w:val="3"/>
            <w:vAlign w:val="center"/>
          </w:tcPr>
          <w:p w14:paraId="255BC819"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Japan</w:t>
            </w:r>
          </w:p>
        </w:tc>
        <w:tc>
          <w:tcPr>
            <w:tcW w:w="985" w:type="pct"/>
            <w:gridSpan w:val="2"/>
            <w:vAlign w:val="center"/>
          </w:tcPr>
          <w:p w14:paraId="4D181DDB" w14:textId="4F229A39" w:rsidR="00A023F8" w:rsidRPr="00693C14" w:rsidRDefault="00A023F8" w:rsidP="00693C14">
            <w:pPr>
              <w:spacing w:after="0"/>
              <w:contextualSpacing/>
              <w:rPr>
                <w:rFonts w:ascii="Calibri" w:hAnsi="Calibri" w:cs="Arial"/>
                <w:sz w:val="20"/>
                <w:szCs w:val="20"/>
              </w:rPr>
            </w:pPr>
            <w:r>
              <w:rPr>
                <w:rFonts w:ascii="Calibri" w:hAnsi="Calibri" w:cs="Arial"/>
                <w:sz w:val="20"/>
                <w:szCs w:val="20"/>
              </w:rPr>
              <w:t>72200 Equipment and Furniture</w:t>
            </w:r>
          </w:p>
        </w:tc>
        <w:tc>
          <w:tcPr>
            <w:tcW w:w="465" w:type="pct"/>
            <w:vMerge/>
            <w:vAlign w:val="center"/>
          </w:tcPr>
          <w:p w14:paraId="313E2BEF" w14:textId="4E8B37F7" w:rsidR="00A023F8" w:rsidRPr="00693C14" w:rsidRDefault="00A023F8" w:rsidP="00693C14">
            <w:pPr>
              <w:spacing w:after="0"/>
              <w:contextualSpacing/>
              <w:jc w:val="right"/>
              <w:rPr>
                <w:rFonts w:ascii="Calibri" w:hAnsi="Calibri" w:cs="Arial"/>
                <w:sz w:val="20"/>
                <w:szCs w:val="20"/>
              </w:rPr>
            </w:pPr>
          </w:p>
        </w:tc>
      </w:tr>
      <w:tr w:rsidR="00A023F8" w:rsidRPr="00693C14" w14:paraId="53CF10B8" w14:textId="77777777" w:rsidTr="007C6F42">
        <w:trPr>
          <w:cantSplit/>
          <w:trHeight w:val="186"/>
        </w:trPr>
        <w:tc>
          <w:tcPr>
            <w:tcW w:w="1102" w:type="pct"/>
            <w:vMerge/>
          </w:tcPr>
          <w:p w14:paraId="55604150" w14:textId="77777777" w:rsidR="00A023F8" w:rsidRPr="00693C14" w:rsidRDefault="00A023F8" w:rsidP="00693C14">
            <w:pPr>
              <w:spacing w:after="0"/>
              <w:contextualSpacing/>
              <w:jc w:val="left"/>
              <w:rPr>
                <w:rFonts w:ascii="Calibri" w:hAnsi="Calibri" w:cs="Arial"/>
                <w:sz w:val="20"/>
                <w:szCs w:val="20"/>
              </w:rPr>
            </w:pPr>
          </w:p>
        </w:tc>
        <w:tc>
          <w:tcPr>
            <w:tcW w:w="1642" w:type="pct"/>
            <w:gridSpan w:val="3"/>
            <w:vMerge/>
            <w:vAlign w:val="center"/>
          </w:tcPr>
          <w:p w14:paraId="309DD702" w14:textId="77777777" w:rsidR="00A023F8" w:rsidRPr="00693C14" w:rsidRDefault="00A023F8" w:rsidP="00693C14">
            <w:pPr>
              <w:spacing w:after="0"/>
              <w:contextualSpacing/>
              <w:rPr>
                <w:rFonts w:ascii="Calibri" w:hAnsi="Calibri" w:cs="Arial"/>
                <w:sz w:val="20"/>
                <w:szCs w:val="20"/>
              </w:rPr>
            </w:pPr>
          </w:p>
        </w:tc>
        <w:tc>
          <w:tcPr>
            <w:tcW w:w="500" w:type="pct"/>
            <w:gridSpan w:val="2"/>
            <w:vAlign w:val="center"/>
          </w:tcPr>
          <w:p w14:paraId="324E34C1"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UNDP</w:t>
            </w:r>
          </w:p>
        </w:tc>
        <w:tc>
          <w:tcPr>
            <w:tcW w:w="306" w:type="pct"/>
            <w:gridSpan w:val="3"/>
            <w:vAlign w:val="center"/>
          </w:tcPr>
          <w:p w14:paraId="7D4A9F75" w14:textId="77777777" w:rsidR="00A023F8" w:rsidRPr="00693C14" w:rsidRDefault="00A023F8" w:rsidP="00693C14">
            <w:pPr>
              <w:spacing w:after="0"/>
              <w:contextualSpacing/>
              <w:jc w:val="left"/>
              <w:rPr>
                <w:rFonts w:ascii="Calibri" w:hAnsi="Calibri" w:cs="Arial"/>
                <w:sz w:val="20"/>
                <w:szCs w:val="20"/>
              </w:rPr>
            </w:pPr>
            <w:r w:rsidRPr="00693C14">
              <w:rPr>
                <w:rFonts w:ascii="Calibri" w:hAnsi="Calibri" w:cs="Arial"/>
                <w:sz w:val="20"/>
                <w:szCs w:val="20"/>
              </w:rPr>
              <w:t>Japan</w:t>
            </w:r>
          </w:p>
        </w:tc>
        <w:tc>
          <w:tcPr>
            <w:tcW w:w="985" w:type="pct"/>
            <w:gridSpan w:val="2"/>
            <w:vAlign w:val="center"/>
          </w:tcPr>
          <w:p w14:paraId="32D4596B" w14:textId="0CA51F2E" w:rsidR="00A023F8" w:rsidRPr="00693C14" w:rsidRDefault="00A023F8" w:rsidP="00693C14">
            <w:pPr>
              <w:spacing w:after="0"/>
              <w:contextualSpacing/>
              <w:rPr>
                <w:rFonts w:ascii="Calibri" w:hAnsi="Calibri" w:cs="Arial"/>
                <w:sz w:val="20"/>
                <w:szCs w:val="20"/>
              </w:rPr>
            </w:pPr>
            <w:r>
              <w:rPr>
                <w:rFonts w:ascii="Calibri" w:hAnsi="Calibri" w:cs="Arial"/>
                <w:sz w:val="20"/>
                <w:szCs w:val="20"/>
              </w:rPr>
              <w:t>71600 Travel</w:t>
            </w:r>
          </w:p>
        </w:tc>
        <w:tc>
          <w:tcPr>
            <w:tcW w:w="465" w:type="pct"/>
            <w:vMerge/>
            <w:vAlign w:val="center"/>
          </w:tcPr>
          <w:p w14:paraId="177738E9" w14:textId="2C957F1E" w:rsidR="00A023F8" w:rsidRPr="00693C14" w:rsidRDefault="00A023F8" w:rsidP="00693C14">
            <w:pPr>
              <w:spacing w:after="0"/>
              <w:contextualSpacing/>
              <w:jc w:val="right"/>
              <w:rPr>
                <w:rFonts w:ascii="Calibri" w:hAnsi="Calibri" w:cs="Arial"/>
                <w:sz w:val="20"/>
                <w:szCs w:val="20"/>
              </w:rPr>
            </w:pPr>
          </w:p>
        </w:tc>
      </w:tr>
      <w:tr w:rsidR="008C2B83" w:rsidRPr="00693C14" w14:paraId="47B07695" w14:textId="77777777" w:rsidTr="00B075C8">
        <w:trPr>
          <w:cantSplit/>
          <w:trHeight w:val="534"/>
        </w:trPr>
        <w:tc>
          <w:tcPr>
            <w:tcW w:w="1102" w:type="pct"/>
            <w:vMerge/>
          </w:tcPr>
          <w:p w14:paraId="49C14706" w14:textId="77777777" w:rsidR="008C2B83" w:rsidRPr="00693C14" w:rsidRDefault="008C2B83" w:rsidP="00693C14">
            <w:pPr>
              <w:spacing w:after="0"/>
              <w:contextualSpacing/>
              <w:jc w:val="left"/>
              <w:rPr>
                <w:rFonts w:ascii="Calibri" w:hAnsi="Calibri" w:cs="Arial"/>
                <w:sz w:val="20"/>
                <w:szCs w:val="20"/>
              </w:rPr>
            </w:pPr>
          </w:p>
        </w:tc>
        <w:tc>
          <w:tcPr>
            <w:tcW w:w="1642" w:type="pct"/>
            <w:gridSpan w:val="3"/>
            <w:vMerge/>
            <w:vAlign w:val="center"/>
          </w:tcPr>
          <w:p w14:paraId="3DBC5F00" w14:textId="77777777" w:rsidR="008C2B83" w:rsidRPr="00693C14" w:rsidRDefault="008C2B83" w:rsidP="00693C14">
            <w:pPr>
              <w:spacing w:after="0"/>
              <w:contextualSpacing/>
              <w:rPr>
                <w:rFonts w:ascii="Calibri" w:hAnsi="Calibri" w:cs="Arial"/>
                <w:sz w:val="20"/>
                <w:szCs w:val="20"/>
              </w:rPr>
            </w:pPr>
          </w:p>
        </w:tc>
        <w:tc>
          <w:tcPr>
            <w:tcW w:w="500" w:type="pct"/>
            <w:gridSpan w:val="2"/>
            <w:vAlign w:val="center"/>
          </w:tcPr>
          <w:p w14:paraId="38CA8E39" w14:textId="77777777" w:rsidR="008C2B83" w:rsidRPr="00693C14" w:rsidRDefault="008C2B83" w:rsidP="00693C14">
            <w:pPr>
              <w:spacing w:after="0"/>
              <w:contextualSpacing/>
              <w:jc w:val="left"/>
              <w:rPr>
                <w:rFonts w:ascii="Calibri" w:hAnsi="Calibri" w:cs="Arial"/>
                <w:sz w:val="20"/>
                <w:szCs w:val="20"/>
              </w:rPr>
            </w:pPr>
            <w:r w:rsidRPr="00693C14">
              <w:rPr>
                <w:rFonts w:ascii="Calibri" w:hAnsi="Calibri" w:cs="Arial"/>
                <w:sz w:val="20"/>
                <w:szCs w:val="20"/>
              </w:rPr>
              <w:t>UNDP</w:t>
            </w:r>
          </w:p>
          <w:p w14:paraId="7E955B7D" w14:textId="29E8E391" w:rsidR="008C2B83" w:rsidRPr="00693C14" w:rsidRDefault="008C2B83" w:rsidP="00693C14">
            <w:pPr>
              <w:spacing w:after="0"/>
              <w:contextualSpacing/>
              <w:jc w:val="left"/>
              <w:rPr>
                <w:rFonts w:ascii="Calibri" w:hAnsi="Calibri" w:cs="Arial"/>
                <w:sz w:val="20"/>
                <w:szCs w:val="20"/>
              </w:rPr>
            </w:pPr>
          </w:p>
        </w:tc>
        <w:tc>
          <w:tcPr>
            <w:tcW w:w="306" w:type="pct"/>
            <w:gridSpan w:val="3"/>
            <w:vAlign w:val="center"/>
          </w:tcPr>
          <w:p w14:paraId="0C504522" w14:textId="77777777" w:rsidR="008C2B83" w:rsidRPr="00693C14" w:rsidRDefault="008C2B83" w:rsidP="00693C14">
            <w:pPr>
              <w:spacing w:after="0"/>
              <w:contextualSpacing/>
              <w:jc w:val="left"/>
              <w:rPr>
                <w:rFonts w:ascii="Calibri" w:hAnsi="Calibri" w:cs="Arial"/>
                <w:sz w:val="20"/>
                <w:szCs w:val="20"/>
              </w:rPr>
            </w:pPr>
            <w:r w:rsidRPr="00693C14">
              <w:rPr>
                <w:rFonts w:ascii="Calibri" w:hAnsi="Calibri" w:cs="Arial"/>
                <w:sz w:val="20"/>
                <w:szCs w:val="20"/>
              </w:rPr>
              <w:t>Japan</w:t>
            </w:r>
          </w:p>
          <w:p w14:paraId="42E3B81B" w14:textId="666F0B10" w:rsidR="008C2B83" w:rsidRPr="00693C14" w:rsidRDefault="008C2B83" w:rsidP="00693C14">
            <w:pPr>
              <w:spacing w:after="0"/>
              <w:contextualSpacing/>
              <w:jc w:val="left"/>
              <w:rPr>
                <w:rFonts w:ascii="Calibri" w:hAnsi="Calibri" w:cs="Arial"/>
                <w:sz w:val="20"/>
                <w:szCs w:val="20"/>
              </w:rPr>
            </w:pPr>
          </w:p>
        </w:tc>
        <w:tc>
          <w:tcPr>
            <w:tcW w:w="985" w:type="pct"/>
            <w:gridSpan w:val="2"/>
            <w:vAlign w:val="center"/>
          </w:tcPr>
          <w:p w14:paraId="351ABAA7" w14:textId="56B59A58" w:rsidR="008C2B83" w:rsidRPr="00693C14" w:rsidRDefault="008C2B83" w:rsidP="00693C14">
            <w:pPr>
              <w:spacing w:after="0"/>
              <w:contextualSpacing/>
              <w:rPr>
                <w:rFonts w:ascii="Calibri" w:hAnsi="Calibri" w:cs="Arial"/>
                <w:sz w:val="20"/>
                <w:szCs w:val="20"/>
              </w:rPr>
            </w:pPr>
            <w:r>
              <w:rPr>
                <w:rFonts w:ascii="Calibri" w:hAnsi="Calibri" w:cs="Arial"/>
                <w:sz w:val="20"/>
                <w:szCs w:val="20"/>
              </w:rPr>
              <w:t>75700 Training, Workshop, Conference</w:t>
            </w:r>
          </w:p>
        </w:tc>
        <w:tc>
          <w:tcPr>
            <w:tcW w:w="465" w:type="pct"/>
            <w:vMerge/>
            <w:vAlign w:val="center"/>
          </w:tcPr>
          <w:p w14:paraId="5D776026" w14:textId="1BCFF519" w:rsidR="008C2B83" w:rsidRPr="00693C14" w:rsidRDefault="008C2B83" w:rsidP="00693C14">
            <w:pPr>
              <w:spacing w:after="0"/>
              <w:contextualSpacing/>
              <w:jc w:val="right"/>
              <w:rPr>
                <w:rFonts w:ascii="Calibri" w:hAnsi="Calibri" w:cs="Arial"/>
                <w:sz w:val="20"/>
                <w:szCs w:val="20"/>
              </w:rPr>
            </w:pPr>
          </w:p>
        </w:tc>
      </w:tr>
      <w:tr w:rsidR="00C74625" w:rsidRPr="00693C14" w14:paraId="44F207D1" w14:textId="77777777" w:rsidTr="00693C14">
        <w:trPr>
          <w:cantSplit/>
          <w:trHeight w:val="314"/>
        </w:trPr>
        <w:tc>
          <w:tcPr>
            <w:tcW w:w="4535" w:type="pct"/>
            <w:gridSpan w:val="11"/>
            <w:shd w:val="clear" w:color="auto" w:fill="8EAADB"/>
            <w:vAlign w:val="center"/>
          </w:tcPr>
          <w:p w14:paraId="613F4110" w14:textId="7D3E226C" w:rsidR="00C74625" w:rsidRPr="00693C14" w:rsidRDefault="00C74625" w:rsidP="00693C14">
            <w:pPr>
              <w:spacing w:after="0"/>
              <w:contextualSpacing/>
              <w:jc w:val="left"/>
              <w:rPr>
                <w:rFonts w:ascii="Calibri" w:hAnsi="Calibri" w:cs="Arial"/>
                <w:b/>
                <w:sz w:val="20"/>
                <w:szCs w:val="20"/>
              </w:rPr>
            </w:pPr>
            <w:r w:rsidRPr="00693C14">
              <w:rPr>
                <w:rFonts w:ascii="Calibri" w:hAnsi="Calibri" w:cs="Arial"/>
                <w:b/>
                <w:sz w:val="20"/>
                <w:szCs w:val="20"/>
              </w:rPr>
              <w:t>Sub-Total 1</w:t>
            </w:r>
          </w:p>
        </w:tc>
        <w:tc>
          <w:tcPr>
            <w:tcW w:w="465" w:type="pct"/>
            <w:tcBorders>
              <w:top w:val="single" w:sz="4" w:space="0" w:color="auto"/>
            </w:tcBorders>
            <w:shd w:val="clear" w:color="auto" w:fill="8EAADB"/>
            <w:vAlign w:val="center"/>
          </w:tcPr>
          <w:p w14:paraId="52AFFFB8" w14:textId="2DF5786E" w:rsidR="00C74625" w:rsidRPr="00693C14" w:rsidRDefault="00C74625" w:rsidP="00693C14">
            <w:pPr>
              <w:spacing w:after="0"/>
              <w:contextualSpacing/>
              <w:jc w:val="right"/>
              <w:rPr>
                <w:rFonts w:ascii="Calibri" w:hAnsi="Calibri" w:cs="Arial"/>
                <w:b/>
                <w:sz w:val="20"/>
                <w:szCs w:val="20"/>
              </w:rPr>
            </w:pPr>
            <w:r w:rsidRPr="00693C14">
              <w:rPr>
                <w:rFonts w:ascii="Calibri" w:hAnsi="Calibri" w:cs="Arial"/>
                <w:b/>
                <w:sz w:val="20"/>
                <w:szCs w:val="20"/>
              </w:rPr>
              <w:t>1</w:t>
            </w:r>
            <w:r w:rsidR="009B3E7E">
              <w:rPr>
                <w:rFonts w:ascii="Calibri" w:hAnsi="Calibri" w:cs="Arial"/>
                <w:b/>
                <w:sz w:val="20"/>
                <w:szCs w:val="20"/>
              </w:rPr>
              <w:t>,</w:t>
            </w:r>
            <w:r w:rsidR="002F0631">
              <w:rPr>
                <w:rFonts w:ascii="Calibri" w:hAnsi="Calibri" w:cs="Arial"/>
                <w:b/>
                <w:sz w:val="20"/>
                <w:szCs w:val="20"/>
              </w:rPr>
              <w:t>43</w:t>
            </w:r>
            <w:r w:rsidRPr="00693C14">
              <w:rPr>
                <w:rFonts w:ascii="Calibri" w:hAnsi="Calibri" w:cs="Arial"/>
                <w:b/>
                <w:sz w:val="20"/>
                <w:szCs w:val="20"/>
              </w:rPr>
              <w:t>0,000</w:t>
            </w:r>
          </w:p>
        </w:tc>
      </w:tr>
      <w:tr w:rsidR="00637E69" w:rsidRPr="00693C14" w14:paraId="2C8BD5D3" w14:textId="77777777" w:rsidTr="0068701D">
        <w:trPr>
          <w:cantSplit/>
          <w:trHeight w:val="359"/>
        </w:trPr>
        <w:tc>
          <w:tcPr>
            <w:tcW w:w="1102" w:type="pct"/>
            <w:vMerge w:val="restart"/>
          </w:tcPr>
          <w:p w14:paraId="49AB3508" w14:textId="298FCA25" w:rsidR="00637E69" w:rsidRPr="00693C14" w:rsidRDefault="00637E69" w:rsidP="00693C14">
            <w:pPr>
              <w:spacing w:after="0"/>
              <w:contextualSpacing/>
              <w:jc w:val="left"/>
              <w:rPr>
                <w:rFonts w:ascii="Calibri" w:hAnsi="Calibri"/>
                <w:sz w:val="20"/>
                <w:szCs w:val="20"/>
              </w:rPr>
            </w:pPr>
            <w:r w:rsidRPr="00693C14">
              <w:rPr>
                <w:rFonts w:ascii="Calibri" w:hAnsi="Calibri"/>
                <w:b/>
                <w:bCs/>
                <w:sz w:val="20"/>
                <w:szCs w:val="20"/>
              </w:rPr>
              <w:t>Output 2:</w:t>
            </w:r>
            <w:r w:rsidRPr="00693C14">
              <w:rPr>
                <w:rFonts w:ascii="Calibri" w:hAnsi="Calibri"/>
                <w:sz w:val="20"/>
                <w:szCs w:val="20"/>
              </w:rPr>
              <w:t xml:space="preserve"> Local institutions benefit from capacity and skills building in order to deliver effectively on local economic development. </w:t>
            </w:r>
          </w:p>
        </w:tc>
        <w:tc>
          <w:tcPr>
            <w:tcW w:w="1642" w:type="pct"/>
            <w:gridSpan w:val="3"/>
            <w:vMerge w:val="restart"/>
            <w:vAlign w:val="center"/>
          </w:tcPr>
          <w:p w14:paraId="26473162" w14:textId="4942B761" w:rsidR="00637E69" w:rsidRPr="00693C14" w:rsidRDefault="00637E69" w:rsidP="00693C14">
            <w:pPr>
              <w:spacing w:after="0"/>
              <w:contextualSpacing/>
              <w:rPr>
                <w:rFonts w:ascii="Calibri" w:hAnsi="Calibri" w:cs="Arial"/>
                <w:bCs/>
                <w:sz w:val="20"/>
                <w:szCs w:val="20"/>
              </w:rPr>
            </w:pPr>
            <w:r w:rsidRPr="00693C14">
              <w:rPr>
                <w:rFonts w:ascii="Calibri" w:hAnsi="Calibri" w:cs="Arial"/>
                <w:bCs/>
                <w:sz w:val="20"/>
                <w:szCs w:val="20"/>
              </w:rPr>
              <w:t>Strengthen the capacity of national institutions related to employment/income generating activities (knowhow and expertise transfer/exchange in terms of crisis management related to income generation activities in order to ensure the sustainability, capacity building and national ownership of activities as well as engagement of private sector)</w:t>
            </w:r>
          </w:p>
        </w:tc>
        <w:tc>
          <w:tcPr>
            <w:tcW w:w="507" w:type="pct"/>
            <w:gridSpan w:val="3"/>
            <w:vMerge w:val="restart"/>
            <w:vAlign w:val="center"/>
          </w:tcPr>
          <w:p w14:paraId="143E510C" w14:textId="7F28DC75" w:rsidR="00637E69" w:rsidRPr="00693C14" w:rsidRDefault="00637E69" w:rsidP="00693C14">
            <w:pPr>
              <w:spacing w:after="0"/>
              <w:contextualSpacing/>
              <w:jc w:val="left"/>
              <w:rPr>
                <w:rFonts w:ascii="Calibri" w:hAnsi="Calibri" w:cs="Arial"/>
                <w:color w:val="000000"/>
                <w:sz w:val="20"/>
                <w:szCs w:val="20"/>
              </w:rPr>
            </w:pPr>
            <w:r w:rsidRPr="00693C14">
              <w:rPr>
                <w:rFonts w:ascii="Calibri" w:hAnsi="Calibri" w:cs="Arial"/>
                <w:color w:val="000000"/>
                <w:sz w:val="20"/>
                <w:szCs w:val="20"/>
              </w:rPr>
              <w:t>UNDP</w:t>
            </w:r>
          </w:p>
        </w:tc>
        <w:tc>
          <w:tcPr>
            <w:tcW w:w="299" w:type="pct"/>
            <w:gridSpan w:val="2"/>
            <w:vMerge w:val="restart"/>
            <w:vAlign w:val="center"/>
          </w:tcPr>
          <w:p w14:paraId="35B80809" w14:textId="225D2D91" w:rsidR="00637E69" w:rsidRPr="00693C14" w:rsidRDefault="00637E69" w:rsidP="00693C14">
            <w:pPr>
              <w:spacing w:after="0"/>
              <w:contextualSpacing/>
              <w:jc w:val="left"/>
              <w:rPr>
                <w:rFonts w:ascii="Calibri" w:hAnsi="Calibri" w:cs="Arial"/>
                <w:color w:val="000000"/>
                <w:sz w:val="20"/>
                <w:szCs w:val="20"/>
              </w:rPr>
            </w:pPr>
            <w:r>
              <w:rPr>
                <w:rFonts w:ascii="Calibri" w:hAnsi="Calibri" w:cs="Arial"/>
                <w:color w:val="000000"/>
                <w:sz w:val="20"/>
                <w:szCs w:val="20"/>
              </w:rPr>
              <w:t>Japan</w:t>
            </w:r>
          </w:p>
        </w:tc>
        <w:tc>
          <w:tcPr>
            <w:tcW w:w="985" w:type="pct"/>
            <w:gridSpan w:val="2"/>
          </w:tcPr>
          <w:p w14:paraId="70191077" w14:textId="68AE7087" w:rsidR="00637E69" w:rsidRPr="00693C14" w:rsidRDefault="00637E69" w:rsidP="008D0D26">
            <w:pPr>
              <w:spacing w:after="0"/>
              <w:contextualSpacing/>
              <w:jc w:val="left"/>
              <w:rPr>
                <w:rFonts w:ascii="Calibri" w:hAnsi="Calibri" w:cs="Arial"/>
                <w:color w:val="000000"/>
                <w:sz w:val="20"/>
                <w:szCs w:val="20"/>
              </w:rPr>
            </w:pPr>
            <w:r>
              <w:rPr>
                <w:rFonts w:ascii="Calibri" w:hAnsi="Calibri" w:cs="Arial"/>
                <w:color w:val="000000"/>
                <w:sz w:val="20"/>
                <w:szCs w:val="20"/>
              </w:rPr>
              <w:t>71300 Local Consultants</w:t>
            </w:r>
          </w:p>
        </w:tc>
        <w:tc>
          <w:tcPr>
            <w:tcW w:w="465" w:type="pct"/>
            <w:vMerge w:val="restart"/>
          </w:tcPr>
          <w:p w14:paraId="5D9EB4D2" w14:textId="24439FFC" w:rsidR="00637E69" w:rsidRPr="00693C14" w:rsidRDefault="002F0631" w:rsidP="00693C14">
            <w:pPr>
              <w:spacing w:after="0"/>
              <w:contextualSpacing/>
              <w:jc w:val="right"/>
              <w:rPr>
                <w:rFonts w:ascii="Calibri" w:hAnsi="Calibri" w:cs="Arial"/>
                <w:color w:val="000000"/>
                <w:sz w:val="20"/>
                <w:szCs w:val="20"/>
              </w:rPr>
            </w:pPr>
            <w:r>
              <w:rPr>
                <w:rFonts w:ascii="Calibri" w:hAnsi="Calibri" w:cs="Arial"/>
                <w:color w:val="000000"/>
                <w:sz w:val="20"/>
                <w:szCs w:val="20"/>
              </w:rPr>
              <w:t>175</w:t>
            </w:r>
            <w:r w:rsidR="00417988">
              <w:rPr>
                <w:rFonts w:ascii="Calibri" w:hAnsi="Calibri" w:cs="Arial"/>
                <w:color w:val="000000"/>
                <w:sz w:val="20"/>
                <w:szCs w:val="20"/>
              </w:rPr>
              <w:t>,000</w:t>
            </w:r>
          </w:p>
        </w:tc>
      </w:tr>
      <w:tr w:rsidR="00637E69" w:rsidRPr="00693C14" w14:paraId="66A4A5D9" w14:textId="77777777" w:rsidTr="0068701D">
        <w:trPr>
          <w:cantSplit/>
          <w:trHeight w:val="360"/>
        </w:trPr>
        <w:tc>
          <w:tcPr>
            <w:tcW w:w="1102" w:type="pct"/>
            <w:vMerge/>
          </w:tcPr>
          <w:p w14:paraId="128F76EE" w14:textId="77777777" w:rsidR="00637E69" w:rsidRPr="00693C14" w:rsidRDefault="00637E69" w:rsidP="00693C14">
            <w:pPr>
              <w:spacing w:after="0"/>
              <w:contextualSpacing/>
              <w:jc w:val="left"/>
              <w:rPr>
                <w:rFonts w:ascii="Calibri" w:hAnsi="Calibri"/>
                <w:b/>
                <w:bCs/>
                <w:sz w:val="20"/>
                <w:szCs w:val="20"/>
              </w:rPr>
            </w:pPr>
          </w:p>
        </w:tc>
        <w:tc>
          <w:tcPr>
            <w:tcW w:w="1642" w:type="pct"/>
            <w:gridSpan w:val="3"/>
            <w:vMerge/>
            <w:vAlign w:val="center"/>
          </w:tcPr>
          <w:p w14:paraId="24D2483A" w14:textId="77777777" w:rsidR="00637E69" w:rsidRPr="00693C14" w:rsidRDefault="00637E69" w:rsidP="00693C14">
            <w:pPr>
              <w:spacing w:after="0"/>
              <w:contextualSpacing/>
              <w:rPr>
                <w:rFonts w:ascii="Calibri" w:hAnsi="Calibri" w:cs="Arial"/>
                <w:bCs/>
                <w:sz w:val="20"/>
                <w:szCs w:val="20"/>
              </w:rPr>
            </w:pPr>
          </w:p>
        </w:tc>
        <w:tc>
          <w:tcPr>
            <w:tcW w:w="507" w:type="pct"/>
            <w:gridSpan w:val="3"/>
            <w:vMerge/>
            <w:vAlign w:val="center"/>
          </w:tcPr>
          <w:p w14:paraId="3229A2A7" w14:textId="77777777" w:rsidR="00637E69" w:rsidRPr="00693C14" w:rsidRDefault="00637E69" w:rsidP="00693C14">
            <w:pPr>
              <w:spacing w:after="0"/>
              <w:contextualSpacing/>
              <w:jc w:val="left"/>
              <w:rPr>
                <w:rFonts w:ascii="Calibri" w:hAnsi="Calibri" w:cs="Arial"/>
                <w:color w:val="000000"/>
                <w:sz w:val="20"/>
                <w:szCs w:val="20"/>
              </w:rPr>
            </w:pPr>
          </w:p>
        </w:tc>
        <w:tc>
          <w:tcPr>
            <w:tcW w:w="299" w:type="pct"/>
            <w:gridSpan w:val="2"/>
            <w:vMerge/>
            <w:vAlign w:val="center"/>
          </w:tcPr>
          <w:p w14:paraId="0251A262" w14:textId="77777777" w:rsidR="00637E69" w:rsidRDefault="00637E69" w:rsidP="00693C14">
            <w:pPr>
              <w:spacing w:after="0"/>
              <w:contextualSpacing/>
              <w:jc w:val="left"/>
              <w:rPr>
                <w:rFonts w:ascii="Calibri" w:hAnsi="Calibri" w:cs="Arial"/>
                <w:color w:val="000000"/>
                <w:sz w:val="20"/>
                <w:szCs w:val="20"/>
              </w:rPr>
            </w:pPr>
          </w:p>
        </w:tc>
        <w:tc>
          <w:tcPr>
            <w:tcW w:w="985" w:type="pct"/>
            <w:gridSpan w:val="2"/>
          </w:tcPr>
          <w:p w14:paraId="10CF488B" w14:textId="21F58CAF" w:rsidR="00637E69" w:rsidRPr="00693C14" w:rsidRDefault="00637E69" w:rsidP="008D0D26">
            <w:pPr>
              <w:spacing w:after="0"/>
              <w:contextualSpacing/>
              <w:jc w:val="left"/>
              <w:rPr>
                <w:rFonts w:ascii="Calibri" w:hAnsi="Calibri" w:cs="Arial"/>
                <w:color w:val="000000"/>
                <w:sz w:val="20"/>
                <w:szCs w:val="20"/>
              </w:rPr>
            </w:pPr>
            <w:r>
              <w:rPr>
                <w:rFonts w:ascii="Calibri" w:hAnsi="Calibri" w:cs="Arial"/>
                <w:color w:val="000000"/>
                <w:sz w:val="20"/>
                <w:szCs w:val="20"/>
              </w:rPr>
              <w:t>72200 Equipment and Furniture</w:t>
            </w:r>
          </w:p>
        </w:tc>
        <w:tc>
          <w:tcPr>
            <w:tcW w:w="465" w:type="pct"/>
            <w:vMerge/>
          </w:tcPr>
          <w:p w14:paraId="7B1EC626" w14:textId="77777777" w:rsidR="00637E69" w:rsidRPr="00693C14" w:rsidRDefault="00637E69" w:rsidP="00693C14">
            <w:pPr>
              <w:spacing w:after="0"/>
              <w:contextualSpacing/>
              <w:jc w:val="right"/>
              <w:rPr>
                <w:rFonts w:ascii="Calibri" w:hAnsi="Calibri" w:cs="Arial"/>
                <w:color w:val="000000"/>
                <w:sz w:val="20"/>
                <w:szCs w:val="20"/>
              </w:rPr>
            </w:pPr>
          </w:p>
        </w:tc>
      </w:tr>
      <w:tr w:rsidR="00637E69" w:rsidRPr="00693C14" w14:paraId="082A272E" w14:textId="77777777" w:rsidTr="0068701D">
        <w:trPr>
          <w:cantSplit/>
          <w:trHeight w:val="480"/>
        </w:trPr>
        <w:tc>
          <w:tcPr>
            <w:tcW w:w="1102" w:type="pct"/>
            <w:vMerge/>
          </w:tcPr>
          <w:p w14:paraId="2B717DFC" w14:textId="77777777" w:rsidR="00637E69" w:rsidRPr="00693C14" w:rsidRDefault="00637E69" w:rsidP="00693C14">
            <w:pPr>
              <w:spacing w:after="0"/>
              <w:contextualSpacing/>
              <w:jc w:val="left"/>
              <w:rPr>
                <w:rFonts w:ascii="Calibri" w:hAnsi="Calibri"/>
                <w:b/>
                <w:bCs/>
                <w:sz w:val="20"/>
                <w:szCs w:val="20"/>
              </w:rPr>
            </w:pPr>
          </w:p>
        </w:tc>
        <w:tc>
          <w:tcPr>
            <w:tcW w:w="1642" w:type="pct"/>
            <w:gridSpan w:val="3"/>
            <w:vMerge/>
            <w:vAlign w:val="center"/>
          </w:tcPr>
          <w:p w14:paraId="3BFB01F7" w14:textId="77777777" w:rsidR="00637E69" w:rsidRPr="00693C14" w:rsidRDefault="00637E69" w:rsidP="00693C14">
            <w:pPr>
              <w:spacing w:after="0"/>
              <w:contextualSpacing/>
              <w:rPr>
                <w:rFonts w:ascii="Calibri" w:hAnsi="Calibri" w:cs="Arial"/>
                <w:bCs/>
                <w:sz w:val="20"/>
                <w:szCs w:val="20"/>
              </w:rPr>
            </w:pPr>
          </w:p>
        </w:tc>
        <w:tc>
          <w:tcPr>
            <w:tcW w:w="507" w:type="pct"/>
            <w:gridSpan w:val="3"/>
            <w:vMerge/>
            <w:vAlign w:val="center"/>
          </w:tcPr>
          <w:p w14:paraId="27873D45" w14:textId="77777777" w:rsidR="00637E69" w:rsidRPr="00693C14" w:rsidRDefault="00637E69" w:rsidP="00693C14">
            <w:pPr>
              <w:spacing w:after="0"/>
              <w:contextualSpacing/>
              <w:jc w:val="left"/>
              <w:rPr>
                <w:rFonts w:ascii="Calibri" w:hAnsi="Calibri" w:cs="Arial"/>
                <w:color w:val="000000"/>
                <w:sz w:val="20"/>
                <w:szCs w:val="20"/>
              </w:rPr>
            </w:pPr>
          </w:p>
        </w:tc>
        <w:tc>
          <w:tcPr>
            <w:tcW w:w="299" w:type="pct"/>
            <w:gridSpan w:val="2"/>
            <w:vMerge/>
            <w:vAlign w:val="center"/>
          </w:tcPr>
          <w:p w14:paraId="0A46400F" w14:textId="77777777" w:rsidR="00637E69" w:rsidRDefault="00637E69" w:rsidP="00693C14">
            <w:pPr>
              <w:spacing w:after="0"/>
              <w:contextualSpacing/>
              <w:jc w:val="left"/>
              <w:rPr>
                <w:rFonts w:ascii="Calibri" w:hAnsi="Calibri" w:cs="Arial"/>
                <w:color w:val="000000"/>
                <w:sz w:val="20"/>
                <w:szCs w:val="20"/>
              </w:rPr>
            </w:pPr>
          </w:p>
        </w:tc>
        <w:tc>
          <w:tcPr>
            <w:tcW w:w="985" w:type="pct"/>
            <w:gridSpan w:val="2"/>
          </w:tcPr>
          <w:p w14:paraId="44143792" w14:textId="261AFAE4" w:rsidR="00637E69" w:rsidRPr="00693C14" w:rsidRDefault="00637E69" w:rsidP="008D0D26">
            <w:pPr>
              <w:spacing w:after="0"/>
              <w:contextualSpacing/>
              <w:jc w:val="left"/>
              <w:rPr>
                <w:rFonts w:ascii="Calibri" w:hAnsi="Calibri" w:cs="Arial"/>
                <w:color w:val="000000"/>
                <w:sz w:val="20"/>
                <w:szCs w:val="20"/>
              </w:rPr>
            </w:pPr>
            <w:r>
              <w:rPr>
                <w:rFonts w:ascii="Calibri" w:hAnsi="Calibri" w:cs="Arial"/>
                <w:color w:val="000000"/>
                <w:sz w:val="20"/>
                <w:szCs w:val="20"/>
              </w:rPr>
              <w:t>71600 Travel</w:t>
            </w:r>
          </w:p>
        </w:tc>
        <w:tc>
          <w:tcPr>
            <w:tcW w:w="465" w:type="pct"/>
            <w:vMerge/>
          </w:tcPr>
          <w:p w14:paraId="56A4B7C0" w14:textId="77777777" w:rsidR="00637E69" w:rsidRPr="00693C14" w:rsidRDefault="00637E69" w:rsidP="00693C14">
            <w:pPr>
              <w:spacing w:after="0"/>
              <w:contextualSpacing/>
              <w:jc w:val="right"/>
              <w:rPr>
                <w:rFonts w:ascii="Calibri" w:hAnsi="Calibri" w:cs="Arial"/>
                <w:color w:val="000000"/>
                <w:sz w:val="20"/>
                <w:szCs w:val="20"/>
              </w:rPr>
            </w:pPr>
          </w:p>
        </w:tc>
      </w:tr>
      <w:tr w:rsidR="00637E69" w:rsidRPr="00693C14" w14:paraId="4C9329BD" w14:textId="77777777" w:rsidTr="00693C14">
        <w:trPr>
          <w:cantSplit/>
          <w:trHeight w:val="465"/>
        </w:trPr>
        <w:tc>
          <w:tcPr>
            <w:tcW w:w="1102" w:type="pct"/>
            <w:vMerge/>
          </w:tcPr>
          <w:p w14:paraId="10494016" w14:textId="77777777" w:rsidR="00637E69" w:rsidRPr="00693C14" w:rsidRDefault="00637E69" w:rsidP="00693C14">
            <w:pPr>
              <w:spacing w:after="0"/>
              <w:contextualSpacing/>
              <w:jc w:val="left"/>
              <w:rPr>
                <w:rFonts w:ascii="Calibri" w:hAnsi="Calibri"/>
                <w:b/>
                <w:bCs/>
                <w:sz w:val="20"/>
                <w:szCs w:val="20"/>
              </w:rPr>
            </w:pPr>
          </w:p>
        </w:tc>
        <w:tc>
          <w:tcPr>
            <w:tcW w:w="1642" w:type="pct"/>
            <w:gridSpan w:val="3"/>
            <w:vMerge/>
            <w:vAlign w:val="center"/>
          </w:tcPr>
          <w:p w14:paraId="652C3EDE" w14:textId="77777777" w:rsidR="00637E69" w:rsidRPr="00693C14" w:rsidRDefault="00637E69" w:rsidP="00693C14">
            <w:pPr>
              <w:spacing w:after="0"/>
              <w:contextualSpacing/>
              <w:rPr>
                <w:rFonts w:ascii="Calibri" w:hAnsi="Calibri" w:cs="Arial"/>
                <w:bCs/>
                <w:sz w:val="20"/>
                <w:szCs w:val="20"/>
              </w:rPr>
            </w:pPr>
          </w:p>
        </w:tc>
        <w:tc>
          <w:tcPr>
            <w:tcW w:w="507" w:type="pct"/>
            <w:gridSpan w:val="3"/>
            <w:vMerge/>
            <w:vAlign w:val="center"/>
          </w:tcPr>
          <w:p w14:paraId="6D74B14C" w14:textId="77777777" w:rsidR="00637E69" w:rsidRPr="00693C14" w:rsidRDefault="00637E69" w:rsidP="00693C14">
            <w:pPr>
              <w:spacing w:after="0"/>
              <w:contextualSpacing/>
              <w:jc w:val="left"/>
              <w:rPr>
                <w:rFonts w:ascii="Calibri" w:hAnsi="Calibri" w:cs="Arial"/>
                <w:color w:val="000000"/>
                <w:sz w:val="20"/>
                <w:szCs w:val="20"/>
              </w:rPr>
            </w:pPr>
          </w:p>
        </w:tc>
        <w:tc>
          <w:tcPr>
            <w:tcW w:w="299" w:type="pct"/>
            <w:gridSpan w:val="2"/>
            <w:vMerge/>
            <w:vAlign w:val="center"/>
          </w:tcPr>
          <w:p w14:paraId="30C2AAF8" w14:textId="77777777" w:rsidR="00637E69" w:rsidRDefault="00637E69" w:rsidP="00693C14">
            <w:pPr>
              <w:spacing w:after="0"/>
              <w:contextualSpacing/>
              <w:jc w:val="left"/>
              <w:rPr>
                <w:rFonts w:ascii="Calibri" w:hAnsi="Calibri" w:cs="Arial"/>
                <w:color w:val="000000"/>
                <w:sz w:val="20"/>
                <w:szCs w:val="20"/>
              </w:rPr>
            </w:pPr>
          </w:p>
        </w:tc>
        <w:tc>
          <w:tcPr>
            <w:tcW w:w="985" w:type="pct"/>
            <w:gridSpan w:val="2"/>
          </w:tcPr>
          <w:p w14:paraId="3725B766" w14:textId="19A7B218" w:rsidR="00637E69" w:rsidRPr="00693C14" w:rsidRDefault="00637E69" w:rsidP="008D0D26">
            <w:pPr>
              <w:spacing w:after="0"/>
              <w:contextualSpacing/>
              <w:jc w:val="left"/>
              <w:rPr>
                <w:rFonts w:ascii="Calibri" w:hAnsi="Calibri" w:cs="Arial"/>
                <w:color w:val="000000"/>
                <w:sz w:val="20"/>
                <w:szCs w:val="20"/>
              </w:rPr>
            </w:pPr>
            <w:r>
              <w:rPr>
                <w:rFonts w:ascii="Calibri" w:hAnsi="Calibri" w:cs="Arial"/>
                <w:color w:val="000000"/>
                <w:sz w:val="20"/>
                <w:szCs w:val="20"/>
              </w:rPr>
              <w:t>75700 Training, Workshop, Conference</w:t>
            </w:r>
          </w:p>
        </w:tc>
        <w:tc>
          <w:tcPr>
            <w:tcW w:w="465" w:type="pct"/>
            <w:vMerge/>
          </w:tcPr>
          <w:p w14:paraId="3CF98C96" w14:textId="77777777" w:rsidR="00637E69" w:rsidRPr="00693C14" w:rsidRDefault="00637E69" w:rsidP="00693C14">
            <w:pPr>
              <w:spacing w:after="0"/>
              <w:contextualSpacing/>
              <w:jc w:val="right"/>
              <w:rPr>
                <w:rFonts w:ascii="Calibri" w:hAnsi="Calibri" w:cs="Arial"/>
                <w:color w:val="000000"/>
                <w:sz w:val="20"/>
                <w:szCs w:val="20"/>
              </w:rPr>
            </w:pPr>
          </w:p>
        </w:tc>
      </w:tr>
      <w:tr w:rsidR="00637E69" w:rsidRPr="00693C14" w14:paraId="0B159ADD" w14:textId="77777777" w:rsidTr="00637E69">
        <w:trPr>
          <w:cantSplit/>
          <w:trHeight w:val="192"/>
        </w:trPr>
        <w:tc>
          <w:tcPr>
            <w:tcW w:w="1102" w:type="pct"/>
            <w:vMerge/>
          </w:tcPr>
          <w:p w14:paraId="27577CD2" w14:textId="77777777" w:rsidR="00637E69" w:rsidRPr="00693C14" w:rsidRDefault="00637E69" w:rsidP="00693C14">
            <w:pPr>
              <w:spacing w:after="0"/>
              <w:contextualSpacing/>
              <w:jc w:val="left"/>
              <w:rPr>
                <w:rFonts w:ascii="Calibri" w:hAnsi="Calibri"/>
                <w:b/>
                <w:bCs/>
                <w:sz w:val="20"/>
                <w:szCs w:val="20"/>
              </w:rPr>
            </w:pPr>
          </w:p>
        </w:tc>
        <w:tc>
          <w:tcPr>
            <w:tcW w:w="1642" w:type="pct"/>
            <w:gridSpan w:val="3"/>
            <w:vMerge w:val="restart"/>
            <w:vAlign w:val="center"/>
          </w:tcPr>
          <w:p w14:paraId="710A737A" w14:textId="2F1DE736" w:rsidR="00637E69" w:rsidRPr="00693C14" w:rsidRDefault="00637E69" w:rsidP="00693C14">
            <w:pPr>
              <w:spacing w:after="0"/>
              <w:contextualSpacing/>
              <w:rPr>
                <w:rFonts w:ascii="Calibri" w:hAnsi="Calibri" w:cs="Arial"/>
                <w:color w:val="000000"/>
                <w:sz w:val="20"/>
                <w:szCs w:val="20"/>
              </w:rPr>
            </w:pPr>
            <w:r w:rsidRPr="00693C14">
              <w:rPr>
                <w:rFonts w:ascii="Calibri" w:hAnsi="Calibri" w:cs="Arial"/>
                <w:bCs/>
                <w:sz w:val="20"/>
                <w:szCs w:val="20"/>
              </w:rPr>
              <w:t xml:space="preserve">Establish a </w:t>
            </w:r>
            <w:r w:rsidR="00FB23CA">
              <w:rPr>
                <w:rFonts w:ascii="Calibri" w:hAnsi="Calibri" w:cs="Arial"/>
                <w:bCs/>
                <w:sz w:val="20"/>
                <w:szCs w:val="20"/>
              </w:rPr>
              <w:t>P</w:t>
            </w:r>
            <w:r w:rsidRPr="00693C14">
              <w:rPr>
                <w:rFonts w:ascii="Calibri" w:hAnsi="Calibri" w:cs="Arial"/>
                <w:bCs/>
                <w:sz w:val="20"/>
                <w:szCs w:val="20"/>
              </w:rPr>
              <w:t xml:space="preserve">latform to </w:t>
            </w:r>
            <w:r w:rsidR="00762674">
              <w:rPr>
                <w:rFonts w:ascii="Calibri" w:hAnsi="Calibri" w:cs="Arial"/>
                <w:bCs/>
                <w:sz w:val="20"/>
                <w:szCs w:val="20"/>
              </w:rPr>
              <w:t>leverage</w:t>
            </w:r>
            <w:r w:rsidRPr="00693C14">
              <w:rPr>
                <w:rFonts w:ascii="Calibri" w:hAnsi="Calibri" w:cs="Arial"/>
                <w:bCs/>
                <w:sz w:val="20"/>
                <w:szCs w:val="20"/>
              </w:rPr>
              <w:t xml:space="preserve"> private sector</w:t>
            </w:r>
            <w:r w:rsidR="00D323EF">
              <w:rPr>
                <w:rFonts w:ascii="Calibri" w:hAnsi="Calibri" w:cs="Arial"/>
                <w:bCs/>
                <w:sz w:val="20"/>
                <w:szCs w:val="20"/>
              </w:rPr>
              <w:t xml:space="preserve"> involvement in local</w:t>
            </w:r>
            <w:r w:rsidRPr="00693C14">
              <w:rPr>
                <w:rFonts w:ascii="Calibri" w:hAnsi="Calibri" w:cs="Arial"/>
                <w:bCs/>
                <w:sz w:val="20"/>
                <w:szCs w:val="20"/>
              </w:rPr>
              <w:t xml:space="preserve"> </w:t>
            </w:r>
            <w:r w:rsidR="00D323EF">
              <w:rPr>
                <w:rFonts w:ascii="Calibri" w:hAnsi="Calibri" w:cs="Arial"/>
                <w:bCs/>
                <w:sz w:val="20"/>
                <w:szCs w:val="20"/>
              </w:rPr>
              <w:t xml:space="preserve">economic </w:t>
            </w:r>
            <w:r w:rsidRPr="00693C14">
              <w:rPr>
                <w:rFonts w:ascii="Calibri" w:hAnsi="Calibri" w:cs="Arial"/>
                <w:bCs/>
                <w:sz w:val="20"/>
                <w:szCs w:val="20"/>
              </w:rPr>
              <w:t>development</w:t>
            </w:r>
          </w:p>
        </w:tc>
        <w:tc>
          <w:tcPr>
            <w:tcW w:w="507" w:type="pct"/>
            <w:gridSpan w:val="3"/>
            <w:vMerge w:val="restart"/>
            <w:vAlign w:val="center"/>
          </w:tcPr>
          <w:p w14:paraId="38FCFDEA" w14:textId="2DF6EEF2" w:rsidR="00637E69" w:rsidRPr="00693C14" w:rsidRDefault="00637E69" w:rsidP="00693C14">
            <w:pPr>
              <w:spacing w:after="0"/>
              <w:contextualSpacing/>
              <w:jc w:val="left"/>
              <w:rPr>
                <w:rFonts w:ascii="Calibri" w:hAnsi="Calibri" w:cs="Arial"/>
                <w:color w:val="000000"/>
                <w:sz w:val="20"/>
                <w:szCs w:val="20"/>
              </w:rPr>
            </w:pPr>
            <w:r w:rsidRPr="00693C14">
              <w:rPr>
                <w:rFonts w:ascii="Calibri" w:hAnsi="Calibri" w:cs="Arial"/>
                <w:color w:val="000000"/>
                <w:sz w:val="20"/>
                <w:szCs w:val="20"/>
              </w:rPr>
              <w:t>UNDP</w:t>
            </w:r>
          </w:p>
        </w:tc>
        <w:tc>
          <w:tcPr>
            <w:tcW w:w="299" w:type="pct"/>
            <w:gridSpan w:val="2"/>
            <w:vMerge w:val="restart"/>
            <w:vAlign w:val="center"/>
          </w:tcPr>
          <w:p w14:paraId="5CA5D7BE" w14:textId="5D2411F1" w:rsidR="00637E69" w:rsidRPr="00693C14" w:rsidRDefault="00637E69" w:rsidP="00693C14">
            <w:pPr>
              <w:spacing w:after="0"/>
              <w:contextualSpacing/>
              <w:jc w:val="left"/>
              <w:rPr>
                <w:rFonts w:ascii="Calibri" w:hAnsi="Calibri" w:cs="Arial"/>
                <w:color w:val="000000"/>
                <w:sz w:val="20"/>
                <w:szCs w:val="20"/>
              </w:rPr>
            </w:pPr>
            <w:r>
              <w:rPr>
                <w:rFonts w:ascii="Calibri" w:hAnsi="Calibri" w:cs="Arial"/>
                <w:color w:val="000000"/>
                <w:sz w:val="20"/>
                <w:szCs w:val="20"/>
              </w:rPr>
              <w:t>Japan</w:t>
            </w:r>
          </w:p>
        </w:tc>
        <w:tc>
          <w:tcPr>
            <w:tcW w:w="985" w:type="pct"/>
            <w:gridSpan w:val="2"/>
          </w:tcPr>
          <w:p w14:paraId="615276C7" w14:textId="707618C8" w:rsidR="00637E69" w:rsidRPr="00693C14" w:rsidRDefault="007E7ED0" w:rsidP="008D0D26">
            <w:pPr>
              <w:spacing w:after="0"/>
              <w:contextualSpacing/>
              <w:jc w:val="left"/>
              <w:rPr>
                <w:rFonts w:ascii="Calibri" w:hAnsi="Calibri" w:cs="Arial"/>
                <w:color w:val="000000"/>
                <w:sz w:val="20"/>
                <w:szCs w:val="20"/>
              </w:rPr>
            </w:pPr>
            <w:r>
              <w:rPr>
                <w:rFonts w:ascii="Calibri" w:hAnsi="Calibri" w:cs="Arial"/>
                <w:color w:val="000000"/>
                <w:sz w:val="20"/>
                <w:szCs w:val="20"/>
              </w:rPr>
              <w:t>71300 Local Consultants</w:t>
            </w:r>
          </w:p>
        </w:tc>
        <w:tc>
          <w:tcPr>
            <w:tcW w:w="465" w:type="pct"/>
            <w:vMerge w:val="restart"/>
          </w:tcPr>
          <w:p w14:paraId="625C5429" w14:textId="1FE70AF9" w:rsidR="00637E69" w:rsidRPr="00693C14" w:rsidRDefault="00CA741C" w:rsidP="00693C14">
            <w:pPr>
              <w:spacing w:after="0"/>
              <w:contextualSpacing/>
              <w:jc w:val="right"/>
              <w:rPr>
                <w:rFonts w:ascii="Calibri" w:hAnsi="Calibri" w:cs="Arial"/>
                <w:color w:val="000000"/>
                <w:sz w:val="20"/>
                <w:szCs w:val="20"/>
              </w:rPr>
            </w:pPr>
            <w:r>
              <w:rPr>
                <w:rFonts w:ascii="Calibri" w:hAnsi="Calibri" w:cs="Arial"/>
                <w:color w:val="000000"/>
                <w:sz w:val="20"/>
                <w:szCs w:val="20"/>
              </w:rPr>
              <w:t>100,000</w:t>
            </w:r>
          </w:p>
        </w:tc>
      </w:tr>
      <w:tr w:rsidR="00637E69" w:rsidRPr="00693C14" w14:paraId="44D442E4" w14:textId="77777777" w:rsidTr="00637E69">
        <w:trPr>
          <w:cantSplit/>
          <w:trHeight w:val="285"/>
        </w:trPr>
        <w:tc>
          <w:tcPr>
            <w:tcW w:w="1102" w:type="pct"/>
            <w:vMerge/>
          </w:tcPr>
          <w:p w14:paraId="06880C3B" w14:textId="77777777" w:rsidR="00637E69" w:rsidRPr="00693C14" w:rsidRDefault="00637E69" w:rsidP="00693C14">
            <w:pPr>
              <w:spacing w:after="0"/>
              <w:contextualSpacing/>
              <w:jc w:val="left"/>
              <w:rPr>
                <w:rFonts w:ascii="Calibri" w:hAnsi="Calibri"/>
                <w:b/>
                <w:bCs/>
                <w:sz w:val="20"/>
                <w:szCs w:val="20"/>
              </w:rPr>
            </w:pPr>
          </w:p>
        </w:tc>
        <w:tc>
          <w:tcPr>
            <w:tcW w:w="1642" w:type="pct"/>
            <w:gridSpan w:val="3"/>
            <w:vMerge/>
            <w:vAlign w:val="center"/>
          </w:tcPr>
          <w:p w14:paraId="2C49D78D" w14:textId="77777777" w:rsidR="00637E69" w:rsidRPr="00693C14" w:rsidRDefault="00637E69" w:rsidP="00693C14">
            <w:pPr>
              <w:spacing w:after="0"/>
              <w:contextualSpacing/>
              <w:rPr>
                <w:rFonts w:ascii="Calibri" w:hAnsi="Calibri" w:cs="Arial"/>
                <w:bCs/>
                <w:sz w:val="20"/>
                <w:szCs w:val="20"/>
              </w:rPr>
            </w:pPr>
          </w:p>
        </w:tc>
        <w:tc>
          <w:tcPr>
            <w:tcW w:w="507" w:type="pct"/>
            <w:gridSpan w:val="3"/>
            <w:vMerge/>
            <w:vAlign w:val="center"/>
          </w:tcPr>
          <w:p w14:paraId="27DF04D4" w14:textId="77777777" w:rsidR="00637E69" w:rsidRPr="00693C14" w:rsidRDefault="00637E69" w:rsidP="00693C14">
            <w:pPr>
              <w:spacing w:after="0"/>
              <w:contextualSpacing/>
              <w:jc w:val="left"/>
              <w:rPr>
                <w:rFonts w:ascii="Calibri" w:hAnsi="Calibri" w:cs="Arial"/>
                <w:color w:val="000000"/>
                <w:sz w:val="20"/>
                <w:szCs w:val="20"/>
              </w:rPr>
            </w:pPr>
          </w:p>
        </w:tc>
        <w:tc>
          <w:tcPr>
            <w:tcW w:w="299" w:type="pct"/>
            <w:gridSpan w:val="2"/>
            <w:vMerge/>
            <w:vAlign w:val="center"/>
          </w:tcPr>
          <w:p w14:paraId="31C9133B" w14:textId="77777777" w:rsidR="00637E69" w:rsidRDefault="00637E69" w:rsidP="00693C14">
            <w:pPr>
              <w:spacing w:after="0"/>
              <w:contextualSpacing/>
              <w:jc w:val="left"/>
              <w:rPr>
                <w:rFonts w:ascii="Calibri" w:hAnsi="Calibri" w:cs="Arial"/>
                <w:color w:val="000000"/>
                <w:sz w:val="20"/>
                <w:szCs w:val="20"/>
              </w:rPr>
            </w:pPr>
          </w:p>
        </w:tc>
        <w:tc>
          <w:tcPr>
            <w:tcW w:w="985" w:type="pct"/>
            <w:gridSpan w:val="2"/>
          </w:tcPr>
          <w:p w14:paraId="09F38C96" w14:textId="23096DB7" w:rsidR="00637E69" w:rsidRPr="00693C14" w:rsidRDefault="00211C81" w:rsidP="008D0D26">
            <w:pPr>
              <w:spacing w:after="0"/>
              <w:contextualSpacing/>
              <w:jc w:val="left"/>
              <w:rPr>
                <w:rFonts w:ascii="Calibri" w:hAnsi="Calibri" w:cs="Arial"/>
                <w:color w:val="000000"/>
                <w:sz w:val="20"/>
                <w:szCs w:val="20"/>
              </w:rPr>
            </w:pPr>
            <w:r>
              <w:rPr>
                <w:rFonts w:ascii="Calibri" w:hAnsi="Calibri" w:cs="Arial"/>
                <w:color w:val="000000"/>
                <w:sz w:val="20"/>
                <w:szCs w:val="20"/>
              </w:rPr>
              <w:t>71600 Travel</w:t>
            </w:r>
          </w:p>
        </w:tc>
        <w:tc>
          <w:tcPr>
            <w:tcW w:w="465" w:type="pct"/>
            <w:vMerge/>
          </w:tcPr>
          <w:p w14:paraId="5F651B46" w14:textId="77777777" w:rsidR="00637E69" w:rsidRPr="00693C14" w:rsidRDefault="00637E69" w:rsidP="00693C14">
            <w:pPr>
              <w:spacing w:after="0"/>
              <w:contextualSpacing/>
              <w:jc w:val="right"/>
              <w:rPr>
                <w:rFonts w:ascii="Calibri" w:hAnsi="Calibri" w:cs="Arial"/>
                <w:color w:val="000000"/>
                <w:sz w:val="20"/>
                <w:szCs w:val="20"/>
              </w:rPr>
            </w:pPr>
          </w:p>
        </w:tc>
      </w:tr>
      <w:tr w:rsidR="00637E69" w:rsidRPr="00693C14" w14:paraId="66D37D6F" w14:textId="77777777" w:rsidTr="00693C14">
        <w:trPr>
          <w:cantSplit/>
          <w:trHeight w:val="225"/>
        </w:trPr>
        <w:tc>
          <w:tcPr>
            <w:tcW w:w="1102" w:type="pct"/>
            <w:vMerge/>
          </w:tcPr>
          <w:p w14:paraId="4B8BA6FF" w14:textId="77777777" w:rsidR="00637E69" w:rsidRPr="00693C14" w:rsidRDefault="00637E69" w:rsidP="00693C14">
            <w:pPr>
              <w:spacing w:after="0"/>
              <w:contextualSpacing/>
              <w:jc w:val="left"/>
              <w:rPr>
                <w:rFonts w:ascii="Calibri" w:hAnsi="Calibri"/>
                <w:b/>
                <w:bCs/>
                <w:sz w:val="20"/>
                <w:szCs w:val="20"/>
              </w:rPr>
            </w:pPr>
          </w:p>
        </w:tc>
        <w:tc>
          <w:tcPr>
            <w:tcW w:w="1642" w:type="pct"/>
            <w:gridSpan w:val="3"/>
            <w:vMerge/>
            <w:vAlign w:val="center"/>
          </w:tcPr>
          <w:p w14:paraId="4792721B" w14:textId="77777777" w:rsidR="00637E69" w:rsidRPr="00693C14" w:rsidRDefault="00637E69" w:rsidP="00693C14">
            <w:pPr>
              <w:spacing w:after="0"/>
              <w:contextualSpacing/>
              <w:rPr>
                <w:rFonts w:ascii="Calibri" w:hAnsi="Calibri" w:cs="Arial"/>
                <w:bCs/>
                <w:sz w:val="20"/>
                <w:szCs w:val="20"/>
              </w:rPr>
            </w:pPr>
          </w:p>
        </w:tc>
        <w:tc>
          <w:tcPr>
            <w:tcW w:w="507" w:type="pct"/>
            <w:gridSpan w:val="3"/>
            <w:vMerge/>
            <w:vAlign w:val="center"/>
          </w:tcPr>
          <w:p w14:paraId="58305E1C" w14:textId="77777777" w:rsidR="00637E69" w:rsidRPr="00693C14" w:rsidRDefault="00637E69" w:rsidP="00693C14">
            <w:pPr>
              <w:spacing w:after="0"/>
              <w:contextualSpacing/>
              <w:jc w:val="left"/>
              <w:rPr>
                <w:rFonts w:ascii="Calibri" w:hAnsi="Calibri" w:cs="Arial"/>
                <w:color w:val="000000"/>
                <w:sz w:val="20"/>
                <w:szCs w:val="20"/>
              </w:rPr>
            </w:pPr>
          </w:p>
        </w:tc>
        <w:tc>
          <w:tcPr>
            <w:tcW w:w="299" w:type="pct"/>
            <w:gridSpan w:val="2"/>
            <w:vMerge/>
            <w:vAlign w:val="center"/>
          </w:tcPr>
          <w:p w14:paraId="52972C04" w14:textId="77777777" w:rsidR="00637E69" w:rsidRDefault="00637E69" w:rsidP="00693C14">
            <w:pPr>
              <w:spacing w:after="0"/>
              <w:contextualSpacing/>
              <w:jc w:val="left"/>
              <w:rPr>
                <w:rFonts w:ascii="Calibri" w:hAnsi="Calibri" w:cs="Arial"/>
                <w:color w:val="000000"/>
                <w:sz w:val="20"/>
                <w:szCs w:val="20"/>
              </w:rPr>
            </w:pPr>
          </w:p>
        </w:tc>
        <w:tc>
          <w:tcPr>
            <w:tcW w:w="985" w:type="pct"/>
            <w:gridSpan w:val="2"/>
          </w:tcPr>
          <w:p w14:paraId="0C80791C" w14:textId="1626C296" w:rsidR="00637E69" w:rsidRPr="00693C14" w:rsidRDefault="00343FEB" w:rsidP="008D0D26">
            <w:pPr>
              <w:spacing w:after="0"/>
              <w:contextualSpacing/>
              <w:jc w:val="left"/>
              <w:rPr>
                <w:rFonts w:ascii="Calibri" w:hAnsi="Calibri" w:cs="Arial"/>
                <w:color w:val="000000"/>
                <w:sz w:val="20"/>
                <w:szCs w:val="20"/>
              </w:rPr>
            </w:pPr>
            <w:r>
              <w:rPr>
                <w:rFonts w:ascii="Calibri" w:hAnsi="Calibri" w:cs="Arial"/>
                <w:color w:val="000000"/>
                <w:sz w:val="20"/>
                <w:szCs w:val="20"/>
              </w:rPr>
              <w:t xml:space="preserve">75700 Training, Workshop, Conference </w:t>
            </w:r>
          </w:p>
        </w:tc>
        <w:tc>
          <w:tcPr>
            <w:tcW w:w="465" w:type="pct"/>
            <w:vMerge/>
          </w:tcPr>
          <w:p w14:paraId="37B2F0FA" w14:textId="77777777" w:rsidR="00637E69" w:rsidRPr="00693C14" w:rsidRDefault="00637E69" w:rsidP="00693C14">
            <w:pPr>
              <w:spacing w:after="0"/>
              <w:contextualSpacing/>
              <w:jc w:val="right"/>
              <w:rPr>
                <w:rFonts w:ascii="Calibri" w:hAnsi="Calibri" w:cs="Arial"/>
                <w:color w:val="000000"/>
                <w:sz w:val="20"/>
                <w:szCs w:val="20"/>
              </w:rPr>
            </w:pPr>
          </w:p>
        </w:tc>
      </w:tr>
      <w:tr w:rsidR="00C74625" w:rsidRPr="00693C14" w14:paraId="2A03F707" w14:textId="77777777" w:rsidTr="00693C14">
        <w:trPr>
          <w:cantSplit/>
          <w:trHeight w:val="305"/>
        </w:trPr>
        <w:tc>
          <w:tcPr>
            <w:tcW w:w="4535" w:type="pct"/>
            <w:gridSpan w:val="11"/>
            <w:shd w:val="clear" w:color="auto" w:fill="8EAADB"/>
            <w:vAlign w:val="center"/>
          </w:tcPr>
          <w:p w14:paraId="57738A54" w14:textId="0A3C36ED" w:rsidR="00C74625" w:rsidRPr="00693C14" w:rsidRDefault="00C74625" w:rsidP="00693C14">
            <w:pPr>
              <w:spacing w:after="0"/>
              <w:contextualSpacing/>
              <w:jc w:val="left"/>
              <w:rPr>
                <w:rFonts w:ascii="Calibri" w:hAnsi="Calibri" w:cs="Arial"/>
                <w:color w:val="000000"/>
                <w:sz w:val="20"/>
                <w:szCs w:val="20"/>
              </w:rPr>
            </w:pPr>
            <w:r w:rsidRPr="00693C14">
              <w:rPr>
                <w:rFonts w:ascii="Calibri" w:hAnsi="Calibri" w:cs="Arial"/>
                <w:b/>
                <w:sz w:val="20"/>
                <w:szCs w:val="20"/>
              </w:rPr>
              <w:t>Sub-Total 2</w:t>
            </w:r>
          </w:p>
        </w:tc>
        <w:tc>
          <w:tcPr>
            <w:tcW w:w="465" w:type="pct"/>
            <w:tcBorders>
              <w:top w:val="single" w:sz="4" w:space="0" w:color="auto"/>
            </w:tcBorders>
            <w:shd w:val="clear" w:color="auto" w:fill="8EAADB"/>
            <w:vAlign w:val="center"/>
          </w:tcPr>
          <w:p w14:paraId="068EA95D" w14:textId="515D5E36" w:rsidR="00C74625" w:rsidRPr="00693C14" w:rsidRDefault="002F0631" w:rsidP="00693C14">
            <w:pPr>
              <w:spacing w:after="0"/>
              <w:contextualSpacing/>
              <w:jc w:val="right"/>
              <w:rPr>
                <w:rFonts w:ascii="Calibri" w:hAnsi="Calibri" w:cs="Arial"/>
                <w:b/>
                <w:bCs/>
                <w:color w:val="000000"/>
                <w:sz w:val="20"/>
                <w:szCs w:val="20"/>
              </w:rPr>
            </w:pPr>
            <w:r>
              <w:rPr>
                <w:rFonts w:ascii="Calibri" w:hAnsi="Calibri" w:cs="Arial"/>
                <w:b/>
                <w:bCs/>
                <w:color w:val="000000"/>
                <w:sz w:val="20"/>
                <w:szCs w:val="20"/>
              </w:rPr>
              <w:t>275</w:t>
            </w:r>
            <w:r w:rsidR="00C74625" w:rsidRPr="00693C14">
              <w:rPr>
                <w:rFonts w:ascii="Calibri" w:hAnsi="Calibri" w:cs="Arial"/>
                <w:b/>
                <w:bCs/>
                <w:color w:val="000000"/>
                <w:sz w:val="20"/>
                <w:szCs w:val="20"/>
              </w:rPr>
              <w:t>,000</w:t>
            </w:r>
          </w:p>
        </w:tc>
      </w:tr>
      <w:tr w:rsidR="00CA741C" w:rsidRPr="00693C14" w14:paraId="3E1A8674" w14:textId="77777777" w:rsidTr="00CA741C">
        <w:trPr>
          <w:cantSplit/>
          <w:trHeight w:val="255"/>
        </w:trPr>
        <w:tc>
          <w:tcPr>
            <w:tcW w:w="1102" w:type="pct"/>
            <w:vMerge w:val="restart"/>
          </w:tcPr>
          <w:p w14:paraId="5B8DDB5E" w14:textId="2B9B0907" w:rsidR="00CA741C" w:rsidRPr="00693C14" w:rsidRDefault="00CA741C" w:rsidP="00693C14">
            <w:pPr>
              <w:spacing w:after="0"/>
              <w:contextualSpacing/>
              <w:jc w:val="left"/>
              <w:rPr>
                <w:rFonts w:ascii="Calibri" w:hAnsi="Calibri"/>
                <w:bCs/>
                <w:sz w:val="20"/>
                <w:szCs w:val="20"/>
              </w:rPr>
            </w:pPr>
            <w:r w:rsidRPr="00693C14">
              <w:rPr>
                <w:rFonts w:ascii="Calibri" w:hAnsi="Calibri"/>
                <w:b/>
                <w:bCs/>
                <w:sz w:val="20"/>
                <w:szCs w:val="20"/>
              </w:rPr>
              <w:t>Output 3:</w:t>
            </w:r>
            <w:r w:rsidRPr="00693C14">
              <w:rPr>
                <w:rFonts w:ascii="Calibri" w:hAnsi="Calibri"/>
                <w:bCs/>
                <w:sz w:val="20"/>
                <w:szCs w:val="20"/>
              </w:rPr>
              <w:t xml:space="preserve"> </w:t>
            </w:r>
            <w:r w:rsidRPr="00693C14">
              <w:rPr>
                <w:rFonts w:ascii="Calibri" w:hAnsi="Calibri"/>
                <w:sz w:val="20"/>
                <w:szCs w:val="20"/>
              </w:rPr>
              <w:t xml:space="preserve"> Strengthen economic opportunities for youth and vulnerable groups through partnership with Toyota Libya</w:t>
            </w:r>
          </w:p>
        </w:tc>
        <w:tc>
          <w:tcPr>
            <w:tcW w:w="1642" w:type="pct"/>
            <w:gridSpan w:val="3"/>
            <w:vMerge w:val="restart"/>
            <w:vAlign w:val="center"/>
          </w:tcPr>
          <w:p w14:paraId="6F59818F" w14:textId="0898C18B" w:rsidR="00CA741C" w:rsidRPr="00693C14" w:rsidRDefault="00CA741C" w:rsidP="00693C14">
            <w:pPr>
              <w:spacing w:after="0"/>
              <w:contextualSpacing/>
              <w:rPr>
                <w:rFonts w:ascii="Calibri" w:hAnsi="Calibri"/>
                <w:sz w:val="20"/>
                <w:szCs w:val="20"/>
              </w:rPr>
            </w:pPr>
            <w:r w:rsidRPr="00693C14">
              <w:rPr>
                <w:rFonts w:ascii="Calibri" w:hAnsi="Calibri"/>
                <w:sz w:val="20"/>
                <w:szCs w:val="20"/>
              </w:rPr>
              <w:t>Conduct three months training/apprenticeship sessions for 40 young people in Libya, including at least 25% IDPs</w:t>
            </w:r>
            <w:r w:rsidR="00950899">
              <w:rPr>
                <w:rFonts w:ascii="Calibri" w:hAnsi="Calibri"/>
                <w:sz w:val="20"/>
                <w:szCs w:val="20"/>
              </w:rPr>
              <w:t xml:space="preserve"> and migrants</w:t>
            </w:r>
          </w:p>
        </w:tc>
        <w:tc>
          <w:tcPr>
            <w:tcW w:w="507" w:type="pct"/>
            <w:gridSpan w:val="3"/>
            <w:vMerge w:val="restart"/>
            <w:vAlign w:val="center"/>
          </w:tcPr>
          <w:p w14:paraId="57CC3259" w14:textId="455149EC" w:rsidR="00CA741C" w:rsidRPr="00693C14" w:rsidRDefault="00CA741C" w:rsidP="00693C14">
            <w:pPr>
              <w:spacing w:after="0"/>
              <w:contextualSpacing/>
              <w:jc w:val="left"/>
              <w:rPr>
                <w:rFonts w:ascii="Calibri" w:hAnsi="Calibri" w:cs="Arial"/>
                <w:color w:val="000000"/>
                <w:sz w:val="20"/>
                <w:szCs w:val="20"/>
              </w:rPr>
            </w:pPr>
            <w:r>
              <w:rPr>
                <w:rFonts w:ascii="Calibri" w:hAnsi="Calibri" w:cs="Arial"/>
                <w:color w:val="000000"/>
                <w:sz w:val="20"/>
                <w:szCs w:val="20"/>
              </w:rPr>
              <w:t>UNDP</w:t>
            </w:r>
          </w:p>
        </w:tc>
        <w:tc>
          <w:tcPr>
            <w:tcW w:w="299" w:type="pct"/>
            <w:gridSpan w:val="2"/>
            <w:vMerge w:val="restart"/>
            <w:vAlign w:val="center"/>
          </w:tcPr>
          <w:p w14:paraId="4FB473A5" w14:textId="33D3EAD7" w:rsidR="00CA741C" w:rsidRPr="00693C14" w:rsidRDefault="00CA741C" w:rsidP="00693C14">
            <w:pPr>
              <w:spacing w:after="0"/>
              <w:contextualSpacing/>
              <w:jc w:val="left"/>
              <w:rPr>
                <w:rFonts w:ascii="Calibri" w:hAnsi="Calibri" w:cs="Arial"/>
                <w:color w:val="000000"/>
                <w:sz w:val="20"/>
                <w:szCs w:val="20"/>
              </w:rPr>
            </w:pPr>
            <w:r>
              <w:rPr>
                <w:rFonts w:ascii="Calibri" w:hAnsi="Calibri" w:cs="Arial"/>
                <w:color w:val="000000"/>
                <w:sz w:val="20"/>
                <w:szCs w:val="20"/>
              </w:rPr>
              <w:t>Japan</w:t>
            </w:r>
          </w:p>
        </w:tc>
        <w:tc>
          <w:tcPr>
            <w:tcW w:w="985" w:type="pct"/>
            <w:gridSpan w:val="2"/>
          </w:tcPr>
          <w:p w14:paraId="58C56FAF" w14:textId="4E2BF166" w:rsidR="00CA741C" w:rsidRPr="00693C14" w:rsidRDefault="008375BA" w:rsidP="008D0D26">
            <w:pPr>
              <w:spacing w:after="0"/>
              <w:contextualSpacing/>
              <w:jc w:val="left"/>
              <w:rPr>
                <w:rFonts w:ascii="Calibri" w:hAnsi="Calibri" w:cs="Arial"/>
                <w:color w:val="000000"/>
                <w:sz w:val="20"/>
                <w:szCs w:val="20"/>
              </w:rPr>
            </w:pPr>
            <w:r w:rsidRPr="008375BA">
              <w:rPr>
                <w:rFonts w:ascii="Calibri" w:hAnsi="Calibri" w:cs="Arial"/>
                <w:color w:val="000000"/>
                <w:sz w:val="20"/>
                <w:szCs w:val="20"/>
              </w:rPr>
              <w:t>72100 Contractual Services - Companies</w:t>
            </w:r>
          </w:p>
        </w:tc>
        <w:tc>
          <w:tcPr>
            <w:tcW w:w="465" w:type="pct"/>
            <w:vMerge w:val="restart"/>
          </w:tcPr>
          <w:p w14:paraId="0ACB8E30" w14:textId="01EDCAD1" w:rsidR="00CA741C" w:rsidRPr="00693C14" w:rsidRDefault="00FF1952" w:rsidP="00693C14">
            <w:pPr>
              <w:spacing w:after="0"/>
              <w:contextualSpacing/>
              <w:jc w:val="right"/>
              <w:rPr>
                <w:rFonts w:ascii="Calibri" w:hAnsi="Calibri" w:cs="Arial"/>
                <w:color w:val="000000"/>
                <w:sz w:val="20"/>
                <w:szCs w:val="20"/>
              </w:rPr>
            </w:pPr>
            <w:r>
              <w:rPr>
                <w:rFonts w:ascii="Calibri" w:hAnsi="Calibri" w:cs="Arial"/>
                <w:color w:val="000000"/>
                <w:sz w:val="20"/>
                <w:szCs w:val="20"/>
              </w:rPr>
              <w:t>100</w:t>
            </w:r>
            <w:r w:rsidR="000E58D4">
              <w:rPr>
                <w:rFonts w:ascii="Calibri" w:hAnsi="Calibri" w:cs="Arial"/>
                <w:color w:val="000000"/>
                <w:sz w:val="20"/>
                <w:szCs w:val="20"/>
              </w:rPr>
              <w:t>,000</w:t>
            </w:r>
          </w:p>
        </w:tc>
      </w:tr>
      <w:tr w:rsidR="00CA741C" w:rsidRPr="00693C14" w14:paraId="54D2AFAC" w14:textId="77777777" w:rsidTr="00CA741C">
        <w:trPr>
          <w:cantSplit/>
          <w:trHeight w:val="120"/>
        </w:trPr>
        <w:tc>
          <w:tcPr>
            <w:tcW w:w="1102" w:type="pct"/>
            <w:vMerge/>
          </w:tcPr>
          <w:p w14:paraId="36117D72" w14:textId="77777777" w:rsidR="00CA741C" w:rsidRPr="00693C14" w:rsidRDefault="00CA741C" w:rsidP="00693C14">
            <w:pPr>
              <w:spacing w:after="0"/>
              <w:contextualSpacing/>
              <w:jc w:val="left"/>
              <w:rPr>
                <w:rFonts w:ascii="Calibri" w:hAnsi="Calibri"/>
                <w:b/>
                <w:bCs/>
                <w:sz w:val="20"/>
                <w:szCs w:val="20"/>
              </w:rPr>
            </w:pPr>
          </w:p>
        </w:tc>
        <w:tc>
          <w:tcPr>
            <w:tcW w:w="1642" w:type="pct"/>
            <w:gridSpan w:val="3"/>
            <w:vMerge/>
            <w:vAlign w:val="center"/>
          </w:tcPr>
          <w:p w14:paraId="58064346" w14:textId="77777777" w:rsidR="00CA741C" w:rsidRPr="00693C14" w:rsidRDefault="00CA741C" w:rsidP="00693C14">
            <w:pPr>
              <w:spacing w:after="0"/>
              <w:contextualSpacing/>
              <w:rPr>
                <w:rFonts w:ascii="Calibri" w:hAnsi="Calibri"/>
                <w:sz w:val="20"/>
                <w:szCs w:val="20"/>
              </w:rPr>
            </w:pPr>
          </w:p>
        </w:tc>
        <w:tc>
          <w:tcPr>
            <w:tcW w:w="507" w:type="pct"/>
            <w:gridSpan w:val="3"/>
            <w:vMerge/>
            <w:vAlign w:val="center"/>
          </w:tcPr>
          <w:p w14:paraId="034FAB80" w14:textId="77777777" w:rsidR="00CA741C" w:rsidRDefault="00CA741C" w:rsidP="00693C14">
            <w:pPr>
              <w:spacing w:after="0"/>
              <w:contextualSpacing/>
              <w:jc w:val="left"/>
              <w:rPr>
                <w:rFonts w:ascii="Calibri" w:hAnsi="Calibri" w:cs="Arial"/>
                <w:color w:val="000000"/>
                <w:sz w:val="20"/>
                <w:szCs w:val="20"/>
              </w:rPr>
            </w:pPr>
          </w:p>
        </w:tc>
        <w:tc>
          <w:tcPr>
            <w:tcW w:w="299" w:type="pct"/>
            <w:gridSpan w:val="2"/>
            <w:vMerge/>
            <w:vAlign w:val="center"/>
          </w:tcPr>
          <w:p w14:paraId="22730387" w14:textId="77777777" w:rsidR="00CA741C" w:rsidRDefault="00CA741C" w:rsidP="00693C14">
            <w:pPr>
              <w:spacing w:after="0"/>
              <w:contextualSpacing/>
              <w:jc w:val="left"/>
              <w:rPr>
                <w:rFonts w:ascii="Calibri" w:hAnsi="Calibri" w:cs="Arial"/>
                <w:color w:val="000000"/>
                <w:sz w:val="20"/>
                <w:szCs w:val="20"/>
              </w:rPr>
            </w:pPr>
          </w:p>
        </w:tc>
        <w:tc>
          <w:tcPr>
            <w:tcW w:w="985" w:type="pct"/>
            <w:gridSpan w:val="2"/>
          </w:tcPr>
          <w:p w14:paraId="315B0419" w14:textId="3C60C6CD" w:rsidR="00CA741C" w:rsidRPr="00693C14" w:rsidRDefault="008375BA" w:rsidP="008D0D26">
            <w:pPr>
              <w:spacing w:after="0"/>
              <w:contextualSpacing/>
              <w:jc w:val="left"/>
              <w:rPr>
                <w:rFonts w:ascii="Calibri" w:hAnsi="Calibri" w:cs="Arial"/>
                <w:color w:val="000000"/>
                <w:sz w:val="20"/>
                <w:szCs w:val="20"/>
              </w:rPr>
            </w:pPr>
            <w:r>
              <w:rPr>
                <w:rFonts w:ascii="Calibri" w:hAnsi="Calibri" w:cs="Arial"/>
                <w:color w:val="000000"/>
                <w:sz w:val="20"/>
                <w:szCs w:val="20"/>
              </w:rPr>
              <w:t>71600 Travel</w:t>
            </w:r>
          </w:p>
        </w:tc>
        <w:tc>
          <w:tcPr>
            <w:tcW w:w="465" w:type="pct"/>
            <w:vMerge/>
          </w:tcPr>
          <w:p w14:paraId="0BB90A74" w14:textId="77777777" w:rsidR="00CA741C" w:rsidRPr="00693C14" w:rsidRDefault="00CA741C" w:rsidP="00693C14">
            <w:pPr>
              <w:spacing w:after="0"/>
              <w:contextualSpacing/>
              <w:jc w:val="right"/>
              <w:rPr>
                <w:rFonts w:ascii="Calibri" w:hAnsi="Calibri" w:cs="Arial"/>
                <w:color w:val="000000"/>
                <w:sz w:val="20"/>
                <w:szCs w:val="20"/>
              </w:rPr>
            </w:pPr>
          </w:p>
        </w:tc>
      </w:tr>
      <w:tr w:rsidR="00CA741C" w:rsidRPr="00693C14" w14:paraId="17D65567" w14:textId="77777777" w:rsidTr="00693C14">
        <w:trPr>
          <w:cantSplit/>
          <w:trHeight w:val="120"/>
        </w:trPr>
        <w:tc>
          <w:tcPr>
            <w:tcW w:w="1102" w:type="pct"/>
            <w:vMerge/>
          </w:tcPr>
          <w:p w14:paraId="21C12D9B" w14:textId="77777777" w:rsidR="00CA741C" w:rsidRPr="00693C14" w:rsidRDefault="00CA741C" w:rsidP="00693C14">
            <w:pPr>
              <w:spacing w:after="0"/>
              <w:contextualSpacing/>
              <w:jc w:val="left"/>
              <w:rPr>
                <w:rFonts w:ascii="Calibri" w:hAnsi="Calibri"/>
                <w:b/>
                <w:bCs/>
                <w:sz w:val="20"/>
                <w:szCs w:val="20"/>
              </w:rPr>
            </w:pPr>
          </w:p>
        </w:tc>
        <w:tc>
          <w:tcPr>
            <w:tcW w:w="1642" w:type="pct"/>
            <w:gridSpan w:val="3"/>
            <w:vMerge/>
            <w:vAlign w:val="center"/>
          </w:tcPr>
          <w:p w14:paraId="0AFF48A9" w14:textId="77777777" w:rsidR="00CA741C" w:rsidRPr="00693C14" w:rsidRDefault="00CA741C" w:rsidP="00693C14">
            <w:pPr>
              <w:spacing w:after="0"/>
              <w:contextualSpacing/>
              <w:rPr>
                <w:rFonts w:ascii="Calibri" w:hAnsi="Calibri"/>
                <w:sz w:val="20"/>
                <w:szCs w:val="20"/>
              </w:rPr>
            </w:pPr>
          </w:p>
        </w:tc>
        <w:tc>
          <w:tcPr>
            <w:tcW w:w="507" w:type="pct"/>
            <w:gridSpan w:val="3"/>
            <w:vMerge/>
            <w:vAlign w:val="center"/>
          </w:tcPr>
          <w:p w14:paraId="7E933B74" w14:textId="77777777" w:rsidR="00CA741C" w:rsidRDefault="00CA741C" w:rsidP="00693C14">
            <w:pPr>
              <w:spacing w:after="0"/>
              <w:contextualSpacing/>
              <w:jc w:val="left"/>
              <w:rPr>
                <w:rFonts w:ascii="Calibri" w:hAnsi="Calibri" w:cs="Arial"/>
                <w:color w:val="000000"/>
                <w:sz w:val="20"/>
                <w:szCs w:val="20"/>
              </w:rPr>
            </w:pPr>
          </w:p>
        </w:tc>
        <w:tc>
          <w:tcPr>
            <w:tcW w:w="299" w:type="pct"/>
            <w:gridSpan w:val="2"/>
            <w:vMerge/>
            <w:vAlign w:val="center"/>
          </w:tcPr>
          <w:p w14:paraId="715CDCF4" w14:textId="77777777" w:rsidR="00CA741C" w:rsidRDefault="00CA741C" w:rsidP="00693C14">
            <w:pPr>
              <w:spacing w:after="0"/>
              <w:contextualSpacing/>
              <w:jc w:val="left"/>
              <w:rPr>
                <w:rFonts w:ascii="Calibri" w:hAnsi="Calibri" w:cs="Arial"/>
                <w:color w:val="000000"/>
                <w:sz w:val="20"/>
                <w:szCs w:val="20"/>
              </w:rPr>
            </w:pPr>
          </w:p>
        </w:tc>
        <w:tc>
          <w:tcPr>
            <w:tcW w:w="985" w:type="pct"/>
            <w:gridSpan w:val="2"/>
          </w:tcPr>
          <w:p w14:paraId="12957ABF" w14:textId="554BBD1A" w:rsidR="00CA741C" w:rsidRPr="00693C14" w:rsidRDefault="000238D4" w:rsidP="008D0D26">
            <w:pPr>
              <w:spacing w:after="0"/>
              <w:contextualSpacing/>
              <w:jc w:val="left"/>
              <w:rPr>
                <w:rFonts w:ascii="Calibri" w:hAnsi="Calibri" w:cs="Arial"/>
                <w:color w:val="000000"/>
                <w:sz w:val="20"/>
                <w:szCs w:val="20"/>
              </w:rPr>
            </w:pPr>
            <w:r>
              <w:rPr>
                <w:rFonts w:ascii="Calibri" w:hAnsi="Calibri" w:cs="Arial"/>
                <w:color w:val="000000"/>
                <w:sz w:val="20"/>
                <w:szCs w:val="20"/>
              </w:rPr>
              <w:t>75700 Training, Workshop, Conference</w:t>
            </w:r>
          </w:p>
        </w:tc>
        <w:tc>
          <w:tcPr>
            <w:tcW w:w="465" w:type="pct"/>
            <w:vMerge/>
          </w:tcPr>
          <w:p w14:paraId="0B92BFD7" w14:textId="77777777" w:rsidR="00CA741C" w:rsidRPr="00693C14" w:rsidRDefault="00CA741C" w:rsidP="00693C14">
            <w:pPr>
              <w:spacing w:after="0"/>
              <w:contextualSpacing/>
              <w:jc w:val="right"/>
              <w:rPr>
                <w:rFonts w:ascii="Calibri" w:hAnsi="Calibri" w:cs="Arial"/>
                <w:color w:val="000000"/>
                <w:sz w:val="20"/>
                <w:szCs w:val="20"/>
              </w:rPr>
            </w:pPr>
          </w:p>
        </w:tc>
      </w:tr>
      <w:tr w:rsidR="00693C14" w:rsidRPr="00693C14" w14:paraId="4D51A56C" w14:textId="77777777" w:rsidTr="008D0D26">
        <w:trPr>
          <w:cantSplit/>
          <w:trHeight w:val="70"/>
        </w:trPr>
        <w:tc>
          <w:tcPr>
            <w:tcW w:w="1102" w:type="pct"/>
            <w:vMerge/>
          </w:tcPr>
          <w:p w14:paraId="6B247374" w14:textId="77777777" w:rsidR="00693C14" w:rsidRPr="00693C14" w:rsidRDefault="00693C14" w:rsidP="00693C14">
            <w:pPr>
              <w:spacing w:after="0"/>
              <w:contextualSpacing/>
              <w:jc w:val="left"/>
              <w:rPr>
                <w:rFonts w:ascii="Calibri" w:hAnsi="Calibri"/>
                <w:b/>
                <w:bCs/>
                <w:sz w:val="20"/>
                <w:szCs w:val="20"/>
              </w:rPr>
            </w:pPr>
          </w:p>
        </w:tc>
        <w:tc>
          <w:tcPr>
            <w:tcW w:w="1642" w:type="pct"/>
            <w:gridSpan w:val="3"/>
            <w:vAlign w:val="center"/>
          </w:tcPr>
          <w:p w14:paraId="31E92CAD" w14:textId="284CA1E1" w:rsidR="00693C14" w:rsidRPr="00693C14" w:rsidRDefault="00693C14" w:rsidP="00693C14">
            <w:pPr>
              <w:spacing w:after="0"/>
              <w:contextualSpacing/>
              <w:rPr>
                <w:rFonts w:ascii="Calibri" w:hAnsi="Calibri"/>
                <w:sz w:val="20"/>
                <w:szCs w:val="20"/>
              </w:rPr>
            </w:pPr>
            <w:r w:rsidRPr="00693C14">
              <w:rPr>
                <w:rFonts w:ascii="Calibri" w:hAnsi="Calibri"/>
                <w:sz w:val="20"/>
                <w:szCs w:val="20"/>
              </w:rPr>
              <w:t>Organize a graduation ceremony and a visibility event to mark to mark the end of the training.</w:t>
            </w:r>
          </w:p>
        </w:tc>
        <w:tc>
          <w:tcPr>
            <w:tcW w:w="507" w:type="pct"/>
            <w:gridSpan w:val="3"/>
            <w:vAlign w:val="center"/>
          </w:tcPr>
          <w:p w14:paraId="5963B726" w14:textId="72088751" w:rsidR="00693C14" w:rsidRPr="00693C14" w:rsidRDefault="00693C14" w:rsidP="00693C14">
            <w:pPr>
              <w:spacing w:after="0"/>
              <w:contextualSpacing/>
              <w:jc w:val="left"/>
              <w:rPr>
                <w:rFonts w:ascii="Calibri" w:hAnsi="Calibri" w:cs="Arial"/>
                <w:color w:val="000000"/>
                <w:sz w:val="20"/>
                <w:szCs w:val="20"/>
              </w:rPr>
            </w:pPr>
            <w:r>
              <w:rPr>
                <w:rFonts w:ascii="Calibri" w:hAnsi="Calibri" w:cs="Arial"/>
                <w:color w:val="000000"/>
                <w:sz w:val="20"/>
                <w:szCs w:val="20"/>
              </w:rPr>
              <w:t>UNDP</w:t>
            </w:r>
          </w:p>
        </w:tc>
        <w:tc>
          <w:tcPr>
            <w:tcW w:w="299" w:type="pct"/>
            <w:gridSpan w:val="2"/>
            <w:vAlign w:val="center"/>
          </w:tcPr>
          <w:p w14:paraId="6175FF86" w14:textId="1E14ED8B" w:rsidR="00693C14" w:rsidRPr="00693C14" w:rsidRDefault="00693C14" w:rsidP="00693C14">
            <w:pPr>
              <w:spacing w:after="0"/>
              <w:contextualSpacing/>
              <w:jc w:val="left"/>
              <w:rPr>
                <w:rFonts w:ascii="Calibri" w:hAnsi="Calibri" w:cs="Arial"/>
                <w:color w:val="000000"/>
                <w:sz w:val="20"/>
                <w:szCs w:val="20"/>
              </w:rPr>
            </w:pPr>
            <w:r>
              <w:rPr>
                <w:rFonts w:ascii="Calibri" w:hAnsi="Calibri" w:cs="Arial"/>
                <w:color w:val="000000"/>
                <w:sz w:val="20"/>
                <w:szCs w:val="20"/>
              </w:rPr>
              <w:t>Japan</w:t>
            </w:r>
          </w:p>
        </w:tc>
        <w:tc>
          <w:tcPr>
            <w:tcW w:w="985" w:type="pct"/>
            <w:gridSpan w:val="2"/>
          </w:tcPr>
          <w:p w14:paraId="04E4675E" w14:textId="77777777" w:rsidR="00693C14" w:rsidRDefault="00F402E0" w:rsidP="00F402E0">
            <w:pPr>
              <w:spacing w:after="0"/>
              <w:contextualSpacing/>
              <w:jc w:val="left"/>
              <w:rPr>
                <w:rFonts w:ascii="Calibri" w:hAnsi="Calibri" w:cs="Arial"/>
                <w:color w:val="000000"/>
                <w:sz w:val="20"/>
                <w:szCs w:val="20"/>
              </w:rPr>
            </w:pPr>
            <w:r>
              <w:rPr>
                <w:rFonts w:ascii="Calibri" w:hAnsi="Calibri" w:cs="Arial"/>
                <w:color w:val="000000"/>
                <w:sz w:val="20"/>
                <w:szCs w:val="20"/>
              </w:rPr>
              <w:t>75700 Training, Workshop, Conference</w:t>
            </w:r>
          </w:p>
          <w:p w14:paraId="598EE384" w14:textId="7987D75B" w:rsidR="00DD39EF" w:rsidRDefault="00DD39EF" w:rsidP="00F402E0">
            <w:pPr>
              <w:spacing w:after="0"/>
              <w:contextualSpacing/>
              <w:jc w:val="left"/>
              <w:rPr>
                <w:rFonts w:ascii="Calibri" w:hAnsi="Calibri" w:cs="Arial"/>
                <w:color w:val="000000"/>
                <w:sz w:val="20"/>
                <w:szCs w:val="20"/>
              </w:rPr>
            </w:pPr>
            <w:r>
              <w:rPr>
                <w:rFonts w:ascii="Calibri" w:hAnsi="Calibri" w:cs="Arial"/>
                <w:color w:val="000000"/>
                <w:sz w:val="20"/>
                <w:szCs w:val="20"/>
              </w:rPr>
              <w:t>72100 Contractual Services – Companies</w:t>
            </w:r>
          </w:p>
          <w:p w14:paraId="06D8A5E7" w14:textId="2EAD3C7C" w:rsidR="00DD39EF" w:rsidRPr="00693C14" w:rsidRDefault="00DD39EF" w:rsidP="008D0D26">
            <w:pPr>
              <w:spacing w:after="0"/>
              <w:contextualSpacing/>
              <w:jc w:val="left"/>
              <w:rPr>
                <w:rFonts w:ascii="Calibri" w:hAnsi="Calibri" w:cs="Arial"/>
                <w:color w:val="000000"/>
                <w:sz w:val="20"/>
                <w:szCs w:val="20"/>
              </w:rPr>
            </w:pPr>
            <w:r>
              <w:rPr>
                <w:rFonts w:ascii="Calibri" w:hAnsi="Calibri" w:cs="Arial"/>
                <w:color w:val="000000"/>
                <w:sz w:val="20"/>
                <w:szCs w:val="20"/>
              </w:rPr>
              <w:t>71600 Travel</w:t>
            </w:r>
          </w:p>
        </w:tc>
        <w:tc>
          <w:tcPr>
            <w:tcW w:w="465" w:type="pct"/>
          </w:tcPr>
          <w:p w14:paraId="706E2A17" w14:textId="475C7628" w:rsidR="00693C14" w:rsidRPr="00693C14" w:rsidRDefault="001E12E0" w:rsidP="00693C14">
            <w:pPr>
              <w:spacing w:after="0"/>
              <w:contextualSpacing/>
              <w:jc w:val="right"/>
              <w:rPr>
                <w:rFonts w:ascii="Calibri" w:hAnsi="Calibri" w:cs="Arial"/>
                <w:color w:val="000000"/>
                <w:sz w:val="20"/>
                <w:szCs w:val="20"/>
              </w:rPr>
            </w:pPr>
            <w:r>
              <w:rPr>
                <w:rFonts w:ascii="Calibri" w:hAnsi="Calibri" w:cs="Arial"/>
                <w:color w:val="000000"/>
                <w:sz w:val="20"/>
                <w:szCs w:val="20"/>
              </w:rPr>
              <w:t>6</w:t>
            </w:r>
            <w:r w:rsidR="008C2B83">
              <w:rPr>
                <w:rFonts w:ascii="Calibri" w:hAnsi="Calibri" w:cs="Arial"/>
                <w:color w:val="000000"/>
                <w:sz w:val="20"/>
                <w:szCs w:val="20"/>
              </w:rPr>
              <w:t>0,000</w:t>
            </w:r>
          </w:p>
        </w:tc>
      </w:tr>
      <w:tr w:rsidR="00A0333B" w:rsidRPr="00693C14" w14:paraId="673CFB6D" w14:textId="77777777" w:rsidTr="00693C14">
        <w:trPr>
          <w:cantSplit/>
          <w:trHeight w:val="377"/>
        </w:trPr>
        <w:tc>
          <w:tcPr>
            <w:tcW w:w="4535" w:type="pct"/>
            <w:gridSpan w:val="11"/>
            <w:tcBorders>
              <w:bottom w:val="single" w:sz="4" w:space="0" w:color="auto"/>
            </w:tcBorders>
            <w:shd w:val="clear" w:color="auto" w:fill="8EAADB"/>
            <w:vAlign w:val="center"/>
          </w:tcPr>
          <w:p w14:paraId="57C217BB" w14:textId="2817ECFB" w:rsidR="00A0333B" w:rsidRPr="00693C14" w:rsidRDefault="00A0333B" w:rsidP="00693C14">
            <w:pPr>
              <w:spacing w:after="0"/>
              <w:contextualSpacing/>
              <w:jc w:val="left"/>
              <w:rPr>
                <w:rFonts w:ascii="Calibri" w:hAnsi="Calibri" w:cs="Arial"/>
                <w:sz w:val="20"/>
                <w:szCs w:val="20"/>
              </w:rPr>
            </w:pPr>
            <w:r w:rsidRPr="00693C14">
              <w:rPr>
                <w:rFonts w:ascii="Calibri" w:hAnsi="Calibri" w:cs="Arial"/>
                <w:b/>
                <w:sz w:val="20"/>
                <w:szCs w:val="20"/>
              </w:rPr>
              <w:t xml:space="preserve">Sub-Total </w:t>
            </w:r>
            <w:r w:rsidR="00FD7FB3" w:rsidRPr="00693C14">
              <w:rPr>
                <w:rFonts w:ascii="Calibri" w:hAnsi="Calibri" w:cs="Arial"/>
                <w:b/>
                <w:sz w:val="20"/>
                <w:szCs w:val="20"/>
              </w:rPr>
              <w:t>3</w:t>
            </w:r>
          </w:p>
        </w:tc>
        <w:tc>
          <w:tcPr>
            <w:tcW w:w="465" w:type="pct"/>
            <w:tcBorders>
              <w:top w:val="single" w:sz="4" w:space="0" w:color="auto"/>
              <w:bottom w:val="single" w:sz="4" w:space="0" w:color="auto"/>
            </w:tcBorders>
            <w:shd w:val="clear" w:color="auto" w:fill="8EAADB"/>
            <w:vAlign w:val="center"/>
          </w:tcPr>
          <w:p w14:paraId="4C154676" w14:textId="11E26A60" w:rsidR="00A0333B" w:rsidRPr="00693C14" w:rsidRDefault="0071753B" w:rsidP="00693C14">
            <w:pPr>
              <w:spacing w:after="0"/>
              <w:contextualSpacing/>
              <w:jc w:val="right"/>
              <w:rPr>
                <w:rFonts w:ascii="Calibri" w:hAnsi="Calibri" w:cs="Arial"/>
                <w:b/>
                <w:sz w:val="20"/>
                <w:szCs w:val="20"/>
              </w:rPr>
            </w:pPr>
            <w:r>
              <w:rPr>
                <w:rFonts w:ascii="Calibri" w:hAnsi="Calibri" w:cs="Arial"/>
                <w:b/>
                <w:sz w:val="20"/>
                <w:szCs w:val="20"/>
              </w:rPr>
              <w:t>1</w:t>
            </w:r>
            <w:r w:rsidR="001E12E0">
              <w:rPr>
                <w:rFonts w:ascii="Calibri" w:hAnsi="Calibri" w:cs="Arial"/>
                <w:b/>
                <w:sz w:val="20"/>
                <w:szCs w:val="20"/>
              </w:rPr>
              <w:t>6</w:t>
            </w:r>
            <w:r w:rsidR="008C2B83">
              <w:rPr>
                <w:rFonts w:ascii="Calibri" w:hAnsi="Calibri" w:cs="Arial"/>
                <w:b/>
                <w:sz w:val="20"/>
                <w:szCs w:val="20"/>
              </w:rPr>
              <w:t>0,000</w:t>
            </w:r>
          </w:p>
        </w:tc>
      </w:tr>
      <w:tr w:rsidR="00A952CD" w:rsidRPr="00693C14" w14:paraId="05367B4D" w14:textId="77777777" w:rsidTr="00693C14">
        <w:trPr>
          <w:cantSplit/>
          <w:trHeight w:val="58"/>
        </w:trPr>
        <w:tc>
          <w:tcPr>
            <w:tcW w:w="1102" w:type="pct"/>
            <w:vMerge w:val="restart"/>
          </w:tcPr>
          <w:p w14:paraId="29866748" w14:textId="77777777" w:rsidR="00A952CD" w:rsidRPr="00693C14" w:rsidRDefault="00A952CD" w:rsidP="00693C14">
            <w:pPr>
              <w:spacing w:after="0"/>
              <w:contextualSpacing/>
              <w:rPr>
                <w:rFonts w:ascii="Calibri" w:hAnsi="Calibri" w:cs="Arial"/>
                <w:sz w:val="20"/>
                <w:szCs w:val="20"/>
              </w:rPr>
            </w:pPr>
            <w:r w:rsidRPr="00693C14">
              <w:rPr>
                <w:rFonts w:ascii="Calibri" w:hAnsi="Calibri" w:cs="Arial"/>
                <w:sz w:val="20"/>
                <w:szCs w:val="20"/>
              </w:rPr>
              <w:t xml:space="preserve">Direct Project Cost, </w:t>
            </w:r>
          </w:p>
          <w:p w14:paraId="2434F11A" w14:textId="77777777" w:rsidR="00A952CD" w:rsidRPr="00693C14" w:rsidRDefault="00A952CD" w:rsidP="00693C14">
            <w:pPr>
              <w:spacing w:after="0"/>
              <w:contextualSpacing/>
              <w:rPr>
                <w:rFonts w:ascii="Calibri" w:hAnsi="Calibri" w:cs="Arial"/>
                <w:sz w:val="20"/>
                <w:szCs w:val="20"/>
              </w:rPr>
            </w:pPr>
            <w:r w:rsidRPr="00693C14">
              <w:rPr>
                <w:rFonts w:ascii="Calibri" w:hAnsi="Calibri" w:cs="Arial"/>
                <w:sz w:val="20"/>
                <w:szCs w:val="20"/>
              </w:rPr>
              <w:t>Project Management</w:t>
            </w:r>
          </w:p>
        </w:tc>
        <w:tc>
          <w:tcPr>
            <w:tcW w:w="1642" w:type="pct"/>
            <w:gridSpan w:val="3"/>
            <w:vAlign w:val="center"/>
          </w:tcPr>
          <w:p w14:paraId="2B29BDAE" w14:textId="236D87E4" w:rsidR="00A952CD" w:rsidRPr="00693C14" w:rsidRDefault="00A952CD" w:rsidP="00693C14">
            <w:pPr>
              <w:spacing w:after="0"/>
              <w:contextualSpacing/>
              <w:rPr>
                <w:rFonts w:ascii="Calibri" w:hAnsi="Calibri" w:cs="Arial"/>
                <w:sz w:val="20"/>
                <w:szCs w:val="20"/>
              </w:rPr>
            </w:pPr>
            <w:r w:rsidRPr="00693C14">
              <w:rPr>
                <w:rFonts w:ascii="Calibri" w:hAnsi="Calibri" w:cs="Arial"/>
                <w:sz w:val="20"/>
                <w:szCs w:val="20"/>
              </w:rPr>
              <w:t>Direct Project Cost (DPC)</w:t>
            </w:r>
            <w:r>
              <w:rPr>
                <w:rFonts w:ascii="Calibri" w:hAnsi="Calibri" w:cs="Arial"/>
                <w:sz w:val="20"/>
                <w:szCs w:val="20"/>
              </w:rPr>
              <w:t xml:space="preserve"> 11%</w:t>
            </w:r>
          </w:p>
        </w:tc>
        <w:tc>
          <w:tcPr>
            <w:tcW w:w="500" w:type="pct"/>
            <w:gridSpan w:val="2"/>
            <w:vAlign w:val="center"/>
          </w:tcPr>
          <w:p w14:paraId="7B5E79A6" w14:textId="77777777" w:rsidR="00A952CD" w:rsidRPr="00693C14" w:rsidRDefault="00A952CD" w:rsidP="00693C14">
            <w:pPr>
              <w:spacing w:after="0"/>
              <w:contextualSpacing/>
              <w:jc w:val="left"/>
              <w:rPr>
                <w:rFonts w:ascii="Calibri" w:hAnsi="Calibri" w:cs="Arial"/>
                <w:sz w:val="20"/>
                <w:szCs w:val="20"/>
              </w:rPr>
            </w:pPr>
            <w:r w:rsidRPr="00693C14">
              <w:rPr>
                <w:rFonts w:ascii="Calibri" w:hAnsi="Calibri" w:cs="Arial"/>
                <w:sz w:val="20"/>
                <w:szCs w:val="20"/>
              </w:rPr>
              <w:t>UNDP</w:t>
            </w:r>
          </w:p>
        </w:tc>
        <w:tc>
          <w:tcPr>
            <w:tcW w:w="306" w:type="pct"/>
            <w:gridSpan w:val="3"/>
            <w:vAlign w:val="center"/>
          </w:tcPr>
          <w:p w14:paraId="726DD368" w14:textId="77777777" w:rsidR="00A952CD" w:rsidRPr="00693C14" w:rsidRDefault="00A952CD" w:rsidP="00693C14">
            <w:pPr>
              <w:spacing w:after="0"/>
              <w:contextualSpacing/>
              <w:jc w:val="left"/>
              <w:rPr>
                <w:rFonts w:ascii="Calibri" w:hAnsi="Calibri" w:cs="Arial"/>
                <w:sz w:val="20"/>
                <w:szCs w:val="20"/>
              </w:rPr>
            </w:pPr>
            <w:r w:rsidRPr="00693C14">
              <w:rPr>
                <w:rFonts w:ascii="Calibri" w:hAnsi="Calibri" w:cs="Arial"/>
                <w:sz w:val="20"/>
                <w:szCs w:val="20"/>
              </w:rPr>
              <w:t>Japan</w:t>
            </w:r>
          </w:p>
        </w:tc>
        <w:tc>
          <w:tcPr>
            <w:tcW w:w="985" w:type="pct"/>
            <w:gridSpan w:val="2"/>
            <w:vAlign w:val="center"/>
          </w:tcPr>
          <w:p w14:paraId="7A543197" w14:textId="167FB4EA" w:rsidR="00A952CD" w:rsidRPr="00693C14" w:rsidRDefault="00A952CD" w:rsidP="00693C14">
            <w:pPr>
              <w:spacing w:after="0"/>
              <w:contextualSpacing/>
              <w:rPr>
                <w:rFonts w:ascii="Calibri" w:hAnsi="Calibri" w:cs="Arial"/>
                <w:sz w:val="20"/>
                <w:szCs w:val="20"/>
              </w:rPr>
            </w:pPr>
            <w:r>
              <w:rPr>
                <w:rFonts w:ascii="Calibri" w:hAnsi="Calibri" w:cs="Arial"/>
                <w:sz w:val="20"/>
                <w:szCs w:val="20"/>
              </w:rPr>
              <w:t>71300 Project Management Support Unit</w:t>
            </w:r>
          </w:p>
        </w:tc>
        <w:tc>
          <w:tcPr>
            <w:tcW w:w="465" w:type="pct"/>
            <w:vAlign w:val="center"/>
          </w:tcPr>
          <w:p w14:paraId="0AFF74F4" w14:textId="1F01D7E5" w:rsidR="00A952CD" w:rsidRPr="00693C14" w:rsidRDefault="00A952CD" w:rsidP="00693C14">
            <w:pPr>
              <w:spacing w:after="0"/>
              <w:contextualSpacing/>
              <w:jc w:val="right"/>
              <w:rPr>
                <w:rFonts w:ascii="Calibri" w:hAnsi="Calibri" w:cs="Arial"/>
                <w:sz w:val="20"/>
                <w:szCs w:val="20"/>
              </w:rPr>
            </w:pPr>
            <w:r w:rsidRPr="008C2B83">
              <w:rPr>
                <w:rFonts w:ascii="Calibri" w:hAnsi="Calibri" w:cs="Arial"/>
                <w:sz w:val="20"/>
                <w:szCs w:val="20"/>
              </w:rPr>
              <w:t>275</w:t>
            </w:r>
            <w:r>
              <w:rPr>
                <w:rFonts w:ascii="Calibri" w:hAnsi="Calibri" w:cs="Arial"/>
                <w:sz w:val="20"/>
                <w:szCs w:val="20"/>
              </w:rPr>
              <w:t>,</w:t>
            </w:r>
            <w:r w:rsidRPr="008C2B83">
              <w:rPr>
                <w:rFonts w:ascii="Calibri" w:hAnsi="Calibri" w:cs="Arial"/>
                <w:sz w:val="20"/>
                <w:szCs w:val="20"/>
              </w:rPr>
              <w:t>985</w:t>
            </w:r>
          </w:p>
        </w:tc>
      </w:tr>
      <w:tr w:rsidR="00A952CD" w:rsidRPr="00693C14" w14:paraId="04480021" w14:textId="77777777" w:rsidTr="00693C14">
        <w:trPr>
          <w:cantSplit/>
          <w:trHeight w:val="58"/>
        </w:trPr>
        <w:tc>
          <w:tcPr>
            <w:tcW w:w="1102" w:type="pct"/>
            <w:vMerge/>
          </w:tcPr>
          <w:p w14:paraId="1624F777" w14:textId="77777777" w:rsidR="00A952CD" w:rsidRPr="00693C14" w:rsidRDefault="00A952CD" w:rsidP="00693C14">
            <w:pPr>
              <w:spacing w:after="0"/>
              <w:contextualSpacing/>
              <w:rPr>
                <w:rFonts w:ascii="Calibri" w:hAnsi="Calibri" w:cs="Arial"/>
                <w:b/>
                <w:sz w:val="20"/>
                <w:szCs w:val="20"/>
              </w:rPr>
            </w:pPr>
          </w:p>
        </w:tc>
        <w:tc>
          <w:tcPr>
            <w:tcW w:w="1642" w:type="pct"/>
            <w:gridSpan w:val="3"/>
            <w:vAlign w:val="center"/>
          </w:tcPr>
          <w:p w14:paraId="493ABFA7" w14:textId="0183B58E" w:rsidR="00A952CD" w:rsidRPr="00693C14" w:rsidRDefault="00A952CD" w:rsidP="00693C14">
            <w:pPr>
              <w:spacing w:after="0"/>
              <w:contextualSpacing/>
              <w:rPr>
                <w:rFonts w:ascii="Calibri" w:hAnsi="Calibri" w:cs="Arial"/>
                <w:sz w:val="20"/>
                <w:szCs w:val="20"/>
              </w:rPr>
            </w:pPr>
            <w:r w:rsidRPr="00693C14">
              <w:rPr>
                <w:rFonts w:ascii="Calibri" w:hAnsi="Calibri" w:cs="Arial"/>
                <w:sz w:val="20"/>
                <w:szCs w:val="20"/>
              </w:rPr>
              <w:t>Project Staff</w:t>
            </w:r>
          </w:p>
        </w:tc>
        <w:tc>
          <w:tcPr>
            <w:tcW w:w="500" w:type="pct"/>
            <w:gridSpan w:val="2"/>
          </w:tcPr>
          <w:p w14:paraId="6DD748E6" w14:textId="77777777" w:rsidR="00A952CD" w:rsidRPr="00693C14" w:rsidRDefault="00A952CD" w:rsidP="00693C14">
            <w:pPr>
              <w:spacing w:after="0"/>
              <w:contextualSpacing/>
              <w:rPr>
                <w:rFonts w:ascii="Calibri" w:hAnsi="Calibri" w:cs="Arial"/>
                <w:sz w:val="20"/>
                <w:szCs w:val="20"/>
              </w:rPr>
            </w:pPr>
            <w:r w:rsidRPr="00693C14">
              <w:rPr>
                <w:rFonts w:ascii="Calibri" w:hAnsi="Calibri" w:cs="Arial"/>
                <w:sz w:val="20"/>
                <w:szCs w:val="20"/>
              </w:rPr>
              <w:t>UNDP</w:t>
            </w:r>
          </w:p>
        </w:tc>
        <w:tc>
          <w:tcPr>
            <w:tcW w:w="306" w:type="pct"/>
            <w:gridSpan w:val="3"/>
          </w:tcPr>
          <w:p w14:paraId="77149A95" w14:textId="77777777" w:rsidR="00A952CD" w:rsidRPr="00693C14" w:rsidRDefault="00A952CD" w:rsidP="00693C14">
            <w:pPr>
              <w:spacing w:after="0"/>
              <w:contextualSpacing/>
              <w:rPr>
                <w:rFonts w:ascii="Calibri" w:hAnsi="Calibri" w:cs="Arial"/>
                <w:sz w:val="20"/>
                <w:szCs w:val="20"/>
              </w:rPr>
            </w:pPr>
            <w:r w:rsidRPr="00693C14">
              <w:rPr>
                <w:rFonts w:ascii="Calibri" w:hAnsi="Calibri" w:cs="Arial"/>
                <w:sz w:val="20"/>
                <w:szCs w:val="20"/>
              </w:rPr>
              <w:t>Japan</w:t>
            </w:r>
          </w:p>
        </w:tc>
        <w:tc>
          <w:tcPr>
            <w:tcW w:w="985" w:type="pct"/>
            <w:gridSpan w:val="2"/>
            <w:vAlign w:val="center"/>
          </w:tcPr>
          <w:p w14:paraId="6C7B5038" w14:textId="1DCD4CAA" w:rsidR="00A952CD" w:rsidRPr="00693C14" w:rsidRDefault="00A952CD" w:rsidP="00693C14">
            <w:pPr>
              <w:spacing w:after="0"/>
              <w:contextualSpacing/>
              <w:rPr>
                <w:rFonts w:ascii="Calibri" w:hAnsi="Calibri" w:cs="Arial"/>
                <w:sz w:val="20"/>
                <w:szCs w:val="20"/>
              </w:rPr>
            </w:pPr>
            <w:r>
              <w:rPr>
                <w:rFonts w:ascii="Calibri" w:hAnsi="Calibri" w:cs="Arial"/>
                <w:sz w:val="20"/>
                <w:szCs w:val="20"/>
              </w:rPr>
              <w:t>71400 Contractual Services- individuals</w:t>
            </w:r>
          </w:p>
        </w:tc>
        <w:tc>
          <w:tcPr>
            <w:tcW w:w="465" w:type="pct"/>
            <w:vAlign w:val="center"/>
          </w:tcPr>
          <w:p w14:paraId="51C16B8E" w14:textId="541FAEF4" w:rsidR="00A952CD" w:rsidRPr="00693C14" w:rsidRDefault="00A952CD" w:rsidP="00693C14">
            <w:pPr>
              <w:spacing w:after="0"/>
              <w:contextualSpacing/>
              <w:jc w:val="right"/>
              <w:rPr>
                <w:rFonts w:ascii="Calibri" w:hAnsi="Calibri" w:cs="Arial"/>
                <w:sz w:val="20"/>
                <w:szCs w:val="20"/>
              </w:rPr>
            </w:pPr>
            <w:r w:rsidRPr="008C2B83">
              <w:rPr>
                <w:rFonts w:ascii="Calibri" w:hAnsi="Calibri" w:cs="Arial"/>
                <w:sz w:val="20"/>
                <w:szCs w:val="20"/>
              </w:rPr>
              <w:t>2</w:t>
            </w:r>
            <w:r>
              <w:rPr>
                <w:rFonts w:ascii="Calibri" w:hAnsi="Calibri" w:cs="Arial"/>
                <w:sz w:val="20"/>
                <w:szCs w:val="20"/>
              </w:rPr>
              <w:t>67,358</w:t>
            </w:r>
          </w:p>
        </w:tc>
      </w:tr>
      <w:tr w:rsidR="00A952CD" w:rsidRPr="004C72F7" w14:paraId="181FB07B" w14:textId="77777777" w:rsidTr="00B075C8">
        <w:trPr>
          <w:cantSplit/>
          <w:trHeight w:val="388"/>
        </w:trPr>
        <w:tc>
          <w:tcPr>
            <w:tcW w:w="1102" w:type="pct"/>
            <w:vMerge/>
          </w:tcPr>
          <w:p w14:paraId="5939A7C9" w14:textId="77777777" w:rsidR="00A952CD" w:rsidRPr="00693C14" w:rsidRDefault="00A952CD" w:rsidP="00693C14">
            <w:pPr>
              <w:spacing w:after="0"/>
              <w:contextualSpacing/>
              <w:rPr>
                <w:rFonts w:ascii="Calibri" w:hAnsi="Calibri" w:cs="Arial"/>
                <w:b/>
                <w:sz w:val="20"/>
                <w:szCs w:val="20"/>
              </w:rPr>
            </w:pPr>
          </w:p>
        </w:tc>
        <w:tc>
          <w:tcPr>
            <w:tcW w:w="1642" w:type="pct"/>
            <w:gridSpan w:val="3"/>
            <w:vMerge w:val="restart"/>
            <w:vAlign w:val="center"/>
          </w:tcPr>
          <w:p w14:paraId="78E52535" w14:textId="0F4939F2" w:rsidR="00A952CD" w:rsidRPr="004C72F7" w:rsidRDefault="00A952CD" w:rsidP="00693C14">
            <w:pPr>
              <w:spacing w:after="0"/>
              <w:contextualSpacing/>
              <w:rPr>
                <w:rFonts w:ascii="Calibri" w:hAnsi="Calibri" w:cs="Arial"/>
                <w:sz w:val="20"/>
                <w:szCs w:val="20"/>
              </w:rPr>
            </w:pPr>
            <w:r w:rsidRPr="004C72F7">
              <w:rPr>
                <w:rFonts w:ascii="Calibri" w:hAnsi="Calibri" w:cs="Arial"/>
                <w:sz w:val="20"/>
                <w:szCs w:val="20"/>
              </w:rPr>
              <w:t>General Operating costs</w:t>
            </w:r>
          </w:p>
        </w:tc>
        <w:tc>
          <w:tcPr>
            <w:tcW w:w="500" w:type="pct"/>
            <w:gridSpan w:val="2"/>
            <w:vMerge w:val="restart"/>
          </w:tcPr>
          <w:p w14:paraId="09D15A4B" w14:textId="77777777" w:rsidR="00A952CD" w:rsidRPr="004C72F7" w:rsidRDefault="00A952CD" w:rsidP="00693C14">
            <w:pPr>
              <w:spacing w:after="0"/>
              <w:contextualSpacing/>
              <w:rPr>
                <w:rFonts w:ascii="Calibri" w:hAnsi="Calibri" w:cs="Arial"/>
                <w:sz w:val="20"/>
                <w:szCs w:val="20"/>
              </w:rPr>
            </w:pPr>
            <w:r w:rsidRPr="004C72F7">
              <w:rPr>
                <w:rFonts w:ascii="Calibri" w:hAnsi="Calibri" w:cs="Arial"/>
                <w:sz w:val="20"/>
                <w:szCs w:val="20"/>
              </w:rPr>
              <w:t>UNDP</w:t>
            </w:r>
          </w:p>
        </w:tc>
        <w:tc>
          <w:tcPr>
            <w:tcW w:w="306" w:type="pct"/>
            <w:gridSpan w:val="3"/>
            <w:vMerge w:val="restart"/>
          </w:tcPr>
          <w:p w14:paraId="3F81A26C" w14:textId="77777777" w:rsidR="00A952CD" w:rsidRPr="004C72F7" w:rsidRDefault="00A952CD" w:rsidP="00693C14">
            <w:pPr>
              <w:spacing w:after="0"/>
              <w:contextualSpacing/>
              <w:rPr>
                <w:rFonts w:ascii="Calibri" w:hAnsi="Calibri" w:cs="Arial"/>
                <w:sz w:val="20"/>
                <w:szCs w:val="20"/>
              </w:rPr>
            </w:pPr>
            <w:r w:rsidRPr="004C72F7">
              <w:rPr>
                <w:rFonts w:ascii="Calibri" w:hAnsi="Calibri" w:cs="Arial"/>
                <w:sz w:val="20"/>
                <w:szCs w:val="20"/>
              </w:rPr>
              <w:t>Japan</w:t>
            </w:r>
          </w:p>
        </w:tc>
        <w:tc>
          <w:tcPr>
            <w:tcW w:w="985" w:type="pct"/>
            <w:gridSpan w:val="2"/>
            <w:vAlign w:val="center"/>
          </w:tcPr>
          <w:p w14:paraId="6B40E565" w14:textId="34FA26A6" w:rsidR="00A952CD" w:rsidRPr="004C72F7" w:rsidRDefault="00A952CD" w:rsidP="00693C14">
            <w:pPr>
              <w:spacing w:after="0"/>
              <w:contextualSpacing/>
              <w:jc w:val="left"/>
              <w:rPr>
                <w:rFonts w:ascii="Calibri" w:hAnsi="Calibri" w:cs="Arial"/>
                <w:sz w:val="20"/>
                <w:szCs w:val="20"/>
              </w:rPr>
            </w:pPr>
            <w:r w:rsidRPr="004C72F7">
              <w:rPr>
                <w:rFonts w:ascii="Calibri" w:hAnsi="Calibri" w:cs="Arial"/>
                <w:sz w:val="20"/>
                <w:szCs w:val="20"/>
              </w:rPr>
              <w:t xml:space="preserve">74500 Miscellaneous Operating Expense </w:t>
            </w:r>
          </w:p>
        </w:tc>
        <w:tc>
          <w:tcPr>
            <w:tcW w:w="465" w:type="pct"/>
            <w:vAlign w:val="center"/>
          </w:tcPr>
          <w:p w14:paraId="33AD3D91" w14:textId="6C2AB593" w:rsidR="00A952CD" w:rsidRPr="004C72F7" w:rsidRDefault="00A528B7" w:rsidP="00693C14">
            <w:pPr>
              <w:spacing w:after="0"/>
              <w:contextualSpacing/>
              <w:jc w:val="right"/>
              <w:rPr>
                <w:rFonts w:ascii="Calibri" w:hAnsi="Calibri" w:cs="Arial"/>
                <w:sz w:val="20"/>
                <w:szCs w:val="20"/>
              </w:rPr>
            </w:pPr>
            <w:r w:rsidRPr="004C72F7">
              <w:rPr>
                <w:rFonts w:ascii="Calibri" w:hAnsi="Calibri" w:cs="Arial"/>
                <w:sz w:val="20"/>
                <w:szCs w:val="20"/>
              </w:rPr>
              <w:t>19,903</w:t>
            </w:r>
          </w:p>
        </w:tc>
      </w:tr>
      <w:tr w:rsidR="00A952CD" w:rsidRPr="004C72F7" w14:paraId="6809CE9F" w14:textId="77777777" w:rsidTr="008C2B83">
        <w:trPr>
          <w:cantSplit/>
          <w:trHeight w:val="282"/>
        </w:trPr>
        <w:tc>
          <w:tcPr>
            <w:tcW w:w="1102" w:type="pct"/>
            <w:vMerge/>
          </w:tcPr>
          <w:p w14:paraId="4A53F000" w14:textId="77777777" w:rsidR="00A952CD" w:rsidRPr="00693C14" w:rsidRDefault="00A952CD" w:rsidP="00693C14">
            <w:pPr>
              <w:spacing w:after="0"/>
              <w:contextualSpacing/>
              <w:rPr>
                <w:rFonts w:ascii="Calibri" w:hAnsi="Calibri" w:cs="Arial"/>
                <w:b/>
                <w:sz w:val="20"/>
                <w:szCs w:val="20"/>
              </w:rPr>
            </w:pPr>
          </w:p>
        </w:tc>
        <w:tc>
          <w:tcPr>
            <w:tcW w:w="1642" w:type="pct"/>
            <w:gridSpan w:val="3"/>
            <w:vMerge/>
            <w:vAlign w:val="center"/>
          </w:tcPr>
          <w:p w14:paraId="112B1B00" w14:textId="77777777" w:rsidR="00A952CD" w:rsidRPr="004C72F7" w:rsidRDefault="00A952CD" w:rsidP="00693C14">
            <w:pPr>
              <w:spacing w:after="0"/>
              <w:contextualSpacing/>
              <w:rPr>
                <w:rFonts w:ascii="Calibri" w:hAnsi="Calibri" w:cs="Arial"/>
                <w:sz w:val="20"/>
                <w:szCs w:val="20"/>
              </w:rPr>
            </w:pPr>
          </w:p>
        </w:tc>
        <w:tc>
          <w:tcPr>
            <w:tcW w:w="500" w:type="pct"/>
            <w:gridSpan w:val="2"/>
            <w:vMerge/>
          </w:tcPr>
          <w:p w14:paraId="3DB7912A" w14:textId="77777777" w:rsidR="00A952CD" w:rsidRPr="004C72F7" w:rsidRDefault="00A952CD" w:rsidP="00693C14">
            <w:pPr>
              <w:spacing w:after="0"/>
              <w:contextualSpacing/>
              <w:rPr>
                <w:rFonts w:ascii="Calibri" w:hAnsi="Calibri" w:cs="Arial"/>
                <w:sz w:val="20"/>
                <w:szCs w:val="20"/>
              </w:rPr>
            </w:pPr>
          </w:p>
        </w:tc>
        <w:tc>
          <w:tcPr>
            <w:tcW w:w="306" w:type="pct"/>
            <w:gridSpan w:val="3"/>
            <w:vMerge/>
          </w:tcPr>
          <w:p w14:paraId="4648BAA5" w14:textId="77777777" w:rsidR="00A952CD" w:rsidRPr="004C72F7" w:rsidRDefault="00A952CD" w:rsidP="00693C14">
            <w:pPr>
              <w:spacing w:after="0"/>
              <w:contextualSpacing/>
              <w:rPr>
                <w:rFonts w:ascii="Calibri" w:hAnsi="Calibri" w:cs="Arial"/>
                <w:sz w:val="20"/>
                <w:szCs w:val="20"/>
              </w:rPr>
            </w:pPr>
          </w:p>
        </w:tc>
        <w:tc>
          <w:tcPr>
            <w:tcW w:w="985" w:type="pct"/>
            <w:gridSpan w:val="2"/>
            <w:vAlign w:val="center"/>
          </w:tcPr>
          <w:p w14:paraId="6F2D233B" w14:textId="151A8201" w:rsidR="00A952CD" w:rsidRPr="004C72F7" w:rsidRDefault="00A952CD" w:rsidP="00693C14">
            <w:pPr>
              <w:spacing w:after="0"/>
              <w:contextualSpacing/>
              <w:jc w:val="left"/>
              <w:rPr>
                <w:rFonts w:ascii="Calibri" w:hAnsi="Calibri" w:cs="Arial"/>
                <w:sz w:val="20"/>
                <w:szCs w:val="20"/>
              </w:rPr>
            </w:pPr>
            <w:r w:rsidRPr="004C72F7">
              <w:rPr>
                <w:rFonts w:ascii="Calibri" w:hAnsi="Calibri" w:cs="Arial"/>
                <w:sz w:val="20"/>
                <w:szCs w:val="20"/>
              </w:rPr>
              <w:t>73100 - Rental &amp; Maintenance-Premise</w:t>
            </w:r>
          </w:p>
        </w:tc>
        <w:tc>
          <w:tcPr>
            <w:tcW w:w="465" w:type="pct"/>
            <w:vAlign w:val="center"/>
          </w:tcPr>
          <w:p w14:paraId="31AD7FBA" w14:textId="05C995BC" w:rsidR="00A952CD" w:rsidRPr="004C72F7" w:rsidRDefault="00A952CD" w:rsidP="00693C14">
            <w:pPr>
              <w:spacing w:after="0"/>
              <w:contextualSpacing/>
              <w:jc w:val="right"/>
              <w:rPr>
                <w:rFonts w:ascii="Calibri" w:hAnsi="Calibri" w:cs="Arial"/>
                <w:sz w:val="20"/>
                <w:szCs w:val="20"/>
              </w:rPr>
            </w:pPr>
            <w:r w:rsidRPr="004C72F7">
              <w:rPr>
                <w:rFonts w:ascii="Calibri" w:hAnsi="Calibri" w:cs="Arial"/>
                <w:sz w:val="20"/>
                <w:szCs w:val="20"/>
              </w:rPr>
              <w:t>45,000</w:t>
            </w:r>
          </w:p>
        </w:tc>
      </w:tr>
      <w:tr w:rsidR="00A952CD" w:rsidRPr="004C72F7" w14:paraId="75DCD42F" w14:textId="77777777" w:rsidTr="008C2B83">
        <w:trPr>
          <w:cantSplit/>
          <w:trHeight w:val="282"/>
        </w:trPr>
        <w:tc>
          <w:tcPr>
            <w:tcW w:w="1102" w:type="pct"/>
            <w:vMerge/>
          </w:tcPr>
          <w:p w14:paraId="14B8F7F2" w14:textId="77777777" w:rsidR="00A952CD" w:rsidRPr="00693C14" w:rsidRDefault="00A952CD" w:rsidP="00A952CD">
            <w:pPr>
              <w:spacing w:after="0"/>
              <w:contextualSpacing/>
              <w:rPr>
                <w:rFonts w:ascii="Calibri" w:hAnsi="Calibri" w:cs="Arial"/>
                <w:b/>
                <w:sz w:val="20"/>
                <w:szCs w:val="20"/>
              </w:rPr>
            </w:pPr>
          </w:p>
        </w:tc>
        <w:tc>
          <w:tcPr>
            <w:tcW w:w="1642" w:type="pct"/>
            <w:gridSpan w:val="3"/>
            <w:vAlign w:val="center"/>
          </w:tcPr>
          <w:p w14:paraId="170CB5EA" w14:textId="685A5345" w:rsidR="00A952CD" w:rsidRPr="004C72F7" w:rsidRDefault="00A952CD" w:rsidP="00A952CD">
            <w:pPr>
              <w:spacing w:after="0"/>
              <w:contextualSpacing/>
              <w:rPr>
                <w:rFonts w:ascii="Calibri" w:hAnsi="Calibri" w:cs="Arial"/>
                <w:sz w:val="20"/>
                <w:szCs w:val="20"/>
              </w:rPr>
            </w:pPr>
            <w:r w:rsidRPr="004C72F7">
              <w:rPr>
                <w:rFonts w:ascii="Calibri" w:hAnsi="Calibri" w:cs="Arial"/>
                <w:sz w:val="20"/>
                <w:szCs w:val="20"/>
              </w:rPr>
              <w:t>Partnerships and Communications</w:t>
            </w:r>
          </w:p>
        </w:tc>
        <w:tc>
          <w:tcPr>
            <w:tcW w:w="500" w:type="pct"/>
            <w:gridSpan w:val="2"/>
          </w:tcPr>
          <w:p w14:paraId="5DAB91EC" w14:textId="1A571859" w:rsidR="00A952CD" w:rsidRPr="004C72F7" w:rsidRDefault="00A952CD" w:rsidP="00A952CD">
            <w:pPr>
              <w:spacing w:after="0"/>
              <w:contextualSpacing/>
              <w:rPr>
                <w:rFonts w:ascii="Calibri" w:hAnsi="Calibri" w:cs="Arial"/>
                <w:sz w:val="20"/>
                <w:szCs w:val="20"/>
              </w:rPr>
            </w:pPr>
            <w:r w:rsidRPr="004C72F7">
              <w:rPr>
                <w:rFonts w:ascii="Calibri" w:hAnsi="Calibri" w:cs="Arial"/>
                <w:sz w:val="20"/>
                <w:szCs w:val="20"/>
              </w:rPr>
              <w:t>UNDP</w:t>
            </w:r>
          </w:p>
        </w:tc>
        <w:tc>
          <w:tcPr>
            <w:tcW w:w="306" w:type="pct"/>
            <w:gridSpan w:val="3"/>
          </w:tcPr>
          <w:p w14:paraId="1A09E241" w14:textId="1A4DCBB3" w:rsidR="00A952CD" w:rsidRPr="004C72F7" w:rsidRDefault="00A952CD" w:rsidP="00A952CD">
            <w:pPr>
              <w:spacing w:after="0"/>
              <w:contextualSpacing/>
              <w:rPr>
                <w:rFonts w:ascii="Calibri" w:hAnsi="Calibri" w:cs="Arial"/>
                <w:sz w:val="20"/>
                <w:szCs w:val="20"/>
              </w:rPr>
            </w:pPr>
            <w:r w:rsidRPr="004C72F7">
              <w:rPr>
                <w:rFonts w:ascii="Calibri" w:hAnsi="Calibri" w:cs="Arial"/>
                <w:sz w:val="20"/>
                <w:szCs w:val="20"/>
              </w:rPr>
              <w:t>Japan</w:t>
            </w:r>
          </w:p>
        </w:tc>
        <w:tc>
          <w:tcPr>
            <w:tcW w:w="985" w:type="pct"/>
            <w:gridSpan w:val="2"/>
            <w:vAlign w:val="center"/>
          </w:tcPr>
          <w:p w14:paraId="08399116" w14:textId="7640BBCA" w:rsidR="00A952CD" w:rsidRPr="004C72F7" w:rsidRDefault="007A1ADA" w:rsidP="00A952CD">
            <w:pPr>
              <w:spacing w:after="0"/>
              <w:contextualSpacing/>
              <w:jc w:val="left"/>
              <w:rPr>
                <w:rFonts w:ascii="Calibri" w:hAnsi="Calibri" w:cs="Arial"/>
                <w:sz w:val="20"/>
                <w:szCs w:val="20"/>
              </w:rPr>
            </w:pPr>
            <w:r w:rsidRPr="004C72F7">
              <w:rPr>
                <w:rFonts w:ascii="Calibri" w:hAnsi="Calibri" w:cs="Arial"/>
                <w:sz w:val="20"/>
                <w:szCs w:val="20"/>
              </w:rPr>
              <w:t>74500 Publications and visibility</w:t>
            </w:r>
          </w:p>
        </w:tc>
        <w:tc>
          <w:tcPr>
            <w:tcW w:w="465" w:type="pct"/>
            <w:vAlign w:val="center"/>
          </w:tcPr>
          <w:p w14:paraId="237FB8AF" w14:textId="62B042F3" w:rsidR="00A952CD" w:rsidRPr="004C72F7" w:rsidRDefault="00A528B7" w:rsidP="00A952CD">
            <w:pPr>
              <w:spacing w:after="0"/>
              <w:contextualSpacing/>
              <w:jc w:val="right"/>
              <w:rPr>
                <w:rFonts w:ascii="Calibri" w:hAnsi="Calibri" w:cs="Arial"/>
                <w:sz w:val="20"/>
                <w:szCs w:val="20"/>
              </w:rPr>
            </w:pPr>
            <w:r w:rsidRPr="004C72F7">
              <w:rPr>
                <w:rFonts w:ascii="Calibri" w:hAnsi="Calibri" w:cs="Arial"/>
                <w:sz w:val="20"/>
                <w:szCs w:val="20"/>
              </w:rPr>
              <w:t>27,003</w:t>
            </w:r>
          </w:p>
        </w:tc>
      </w:tr>
      <w:tr w:rsidR="00A0333B" w:rsidRPr="004C72F7" w14:paraId="40C88BE6" w14:textId="77777777" w:rsidTr="008D0D26">
        <w:trPr>
          <w:cantSplit/>
          <w:trHeight w:val="305"/>
        </w:trPr>
        <w:tc>
          <w:tcPr>
            <w:tcW w:w="4535" w:type="pct"/>
            <w:gridSpan w:val="11"/>
            <w:shd w:val="clear" w:color="auto" w:fill="8EAADB"/>
          </w:tcPr>
          <w:p w14:paraId="12C21921" w14:textId="21114F4D" w:rsidR="00A0333B" w:rsidRPr="004C72F7" w:rsidRDefault="00A0333B" w:rsidP="00693C14">
            <w:pPr>
              <w:tabs>
                <w:tab w:val="center" w:pos="4162"/>
              </w:tabs>
              <w:spacing w:after="0"/>
              <w:contextualSpacing/>
              <w:rPr>
                <w:rFonts w:ascii="Calibri" w:hAnsi="Calibri" w:cs="Arial"/>
                <w:sz w:val="20"/>
                <w:szCs w:val="20"/>
              </w:rPr>
            </w:pPr>
            <w:r w:rsidRPr="004C72F7">
              <w:rPr>
                <w:rFonts w:ascii="Calibri" w:hAnsi="Calibri" w:cs="Arial"/>
                <w:b/>
                <w:sz w:val="20"/>
                <w:szCs w:val="20"/>
              </w:rPr>
              <w:t>Sub-Total</w:t>
            </w:r>
            <w:r w:rsidRPr="004C72F7">
              <w:rPr>
                <w:rFonts w:ascii="Calibri" w:hAnsi="Calibri" w:cs="Arial"/>
                <w:b/>
                <w:sz w:val="20"/>
                <w:szCs w:val="20"/>
              </w:rPr>
              <w:tab/>
            </w:r>
          </w:p>
        </w:tc>
        <w:tc>
          <w:tcPr>
            <w:tcW w:w="465" w:type="pct"/>
            <w:shd w:val="clear" w:color="auto" w:fill="8EAADB"/>
          </w:tcPr>
          <w:p w14:paraId="3B4AD48A" w14:textId="32E5DE35" w:rsidR="00A0333B" w:rsidRPr="004C72F7" w:rsidRDefault="00A56213" w:rsidP="00693C14">
            <w:pPr>
              <w:spacing w:after="0"/>
              <w:contextualSpacing/>
              <w:jc w:val="right"/>
              <w:rPr>
                <w:rFonts w:ascii="Calibri" w:hAnsi="Calibri" w:cs="Arial"/>
                <w:b/>
                <w:sz w:val="20"/>
                <w:szCs w:val="20"/>
              </w:rPr>
            </w:pPr>
            <w:r w:rsidRPr="004C72F7">
              <w:rPr>
                <w:rFonts w:ascii="Calibri" w:hAnsi="Calibri" w:cs="Arial"/>
                <w:b/>
                <w:sz w:val="20"/>
                <w:szCs w:val="20"/>
              </w:rPr>
              <w:t>635</w:t>
            </w:r>
            <w:r w:rsidR="0058709A" w:rsidRPr="004C72F7">
              <w:rPr>
                <w:rFonts w:ascii="Calibri" w:hAnsi="Calibri" w:cs="Arial"/>
                <w:b/>
                <w:sz w:val="20"/>
                <w:szCs w:val="20"/>
              </w:rPr>
              <w:t>,</w:t>
            </w:r>
            <w:r w:rsidR="00806B57" w:rsidRPr="004C72F7">
              <w:rPr>
                <w:rFonts w:ascii="Calibri" w:hAnsi="Calibri" w:cs="Arial"/>
                <w:b/>
                <w:sz w:val="20"/>
                <w:szCs w:val="20"/>
              </w:rPr>
              <w:t>249</w:t>
            </w:r>
          </w:p>
        </w:tc>
      </w:tr>
      <w:tr w:rsidR="00CE3B57" w:rsidRPr="004C72F7" w14:paraId="231A5611" w14:textId="77777777" w:rsidTr="008D0D26">
        <w:trPr>
          <w:cantSplit/>
          <w:trHeight w:val="305"/>
        </w:trPr>
        <w:tc>
          <w:tcPr>
            <w:tcW w:w="4535" w:type="pct"/>
            <w:gridSpan w:val="11"/>
            <w:shd w:val="clear" w:color="auto" w:fill="8EAADB"/>
          </w:tcPr>
          <w:p w14:paraId="46E1DB9C" w14:textId="0E69DA44" w:rsidR="00CE3B57" w:rsidRPr="004C72F7" w:rsidRDefault="00CE3B57" w:rsidP="00693C14">
            <w:pPr>
              <w:tabs>
                <w:tab w:val="center" w:pos="4162"/>
              </w:tabs>
              <w:spacing w:after="0"/>
              <w:contextualSpacing/>
              <w:rPr>
                <w:rFonts w:ascii="Calibri" w:hAnsi="Calibri" w:cs="Arial"/>
                <w:b/>
                <w:sz w:val="20"/>
                <w:szCs w:val="20"/>
              </w:rPr>
            </w:pPr>
            <w:r w:rsidRPr="004C72F7">
              <w:rPr>
                <w:rFonts w:ascii="Calibri" w:hAnsi="Calibri" w:cs="Arial"/>
                <w:b/>
                <w:sz w:val="20"/>
                <w:szCs w:val="20"/>
              </w:rPr>
              <w:t>Programme Net Budget</w:t>
            </w:r>
          </w:p>
        </w:tc>
        <w:tc>
          <w:tcPr>
            <w:tcW w:w="465" w:type="pct"/>
            <w:shd w:val="clear" w:color="auto" w:fill="8EAADB"/>
          </w:tcPr>
          <w:p w14:paraId="61B2CAC8" w14:textId="654D8850" w:rsidR="00CE3B57" w:rsidRPr="004C72F7" w:rsidDel="00A56213" w:rsidRDefault="00DB0205" w:rsidP="00693C14">
            <w:pPr>
              <w:spacing w:after="0"/>
              <w:contextualSpacing/>
              <w:jc w:val="right"/>
              <w:rPr>
                <w:rFonts w:ascii="Calibri" w:hAnsi="Calibri" w:cs="Arial"/>
                <w:b/>
                <w:sz w:val="20"/>
                <w:szCs w:val="20"/>
              </w:rPr>
            </w:pPr>
            <w:r w:rsidRPr="004C72F7">
              <w:rPr>
                <w:rFonts w:ascii="Calibri" w:hAnsi="Calibri" w:cs="Arial"/>
                <w:b/>
                <w:sz w:val="20"/>
                <w:szCs w:val="20"/>
              </w:rPr>
              <w:t>2,500,249</w:t>
            </w:r>
          </w:p>
        </w:tc>
      </w:tr>
      <w:tr w:rsidR="005349F2" w:rsidRPr="004C72F7" w14:paraId="4DF63700" w14:textId="77777777" w:rsidTr="00693C14">
        <w:trPr>
          <w:cantSplit/>
          <w:trHeight w:val="340"/>
        </w:trPr>
        <w:tc>
          <w:tcPr>
            <w:tcW w:w="1102" w:type="pct"/>
          </w:tcPr>
          <w:p w14:paraId="68ABC142" w14:textId="77777777" w:rsidR="005349F2" w:rsidRPr="00693C14" w:rsidRDefault="005349F2" w:rsidP="00693C14">
            <w:pPr>
              <w:spacing w:after="0"/>
              <w:contextualSpacing/>
              <w:rPr>
                <w:rFonts w:ascii="Calibri" w:hAnsi="Calibri" w:cs="Arial"/>
                <w:b/>
                <w:sz w:val="20"/>
                <w:szCs w:val="20"/>
              </w:rPr>
            </w:pPr>
            <w:r w:rsidRPr="00693C14">
              <w:rPr>
                <w:rFonts w:ascii="Calibri" w:hAnsi="Calibri" w:cs="Arial"/>
                <w:b/>
                <w:sz w:val="20"/>
                <w:szCs w:val="20"/>
              </w:rPr>
              <w:t>General Management Support (8%)</w:t>
            </w:r>
          </w:p>
        </w:tc>
        <w:tc>
          <w:tcPr>
            <w:tcW w:w="3433" w:type="pct"/>
            <w:gridSpan w:val="10"/>
          </w:tcPr>
          <w:p w14:paraId="2005DE6A" w14:textId="35CA8456" w:rsidR="005349F2" w:rsidRPr="004C72F7" w:rsidRDefault="005349F2" w:rsidP="00693C14">
            <w:pPr>
              <w:spacing w:after="0"/>
              <w:contextualSpacing/>
              <w:rPr>
                <w:rFonts w:ascii="Calibri" w:hAnsi="Calibri" w:cs="Arial"/>
                <w:sz w:val="20"/>
                <w:szCs w:val="20"/>
              </w:rPr>
            </w:pPr>
            <w:r w:rsidRPr="004C72F7">
              <w:rPr>
                <w:rFonts w:ascii="Calibri" w:hAnsi="Calibri" w:cs="Arial"/>
                <w:sz w:val="20"/>
                <w:szCs w:val="20"/>
              </w:rPr>
              <w:t xml:space="preserve"> </w:t>
            </w:r>
          </w:p>
        </w:tc>
        <w:tc>
          <w:tcPr>
            <w:tcW w:w="465" w:type="pct"/>
          </w:tcPr>
          <w:p w14:paraId="1C323A60" w14:textId="378A64A8" w:rsidR="005349F2" w:rsidRPr="004C72F7" w:rsidRDefault="004F358E" w:rsidP="00693C14">
            <w:pPr>
              <w:spacing w:after="0"/>
              <w:contextualSpacing/>
              <w:jc w:val="right"/>
              <w:rPr>
                <w:rFonts w:ascii="Calibri" w:hAnsi="Calibri" w:cs="Arial"/>
                <w:sz w:val="20"/>
                <w:szCs w:val="20"/>
              </w:rPr>
            </w:pPr>
            <w:r w:rsidRPr="004C72F7">
              <w:rPr>
                <w:rFonts w:ascii="Calibri" w:hAnsi="Calibri" w:cs="Arial"/>
                <w:sz w:val="20"/>
                <w:szCs w:val="20"/>
              </w:rPr>
              <w:t>200,</w:t>
            </w:r>
            <w:r w:rsidR="00B300AA" w:rsidRPr="004C72F7">
              <w:rPr>
                <w:rFonts w:ascii="Calibri" w:hAnsi="Calibri" w:cs="Arial"/>
                <w:sz w:val="20"/>
                <w:szCs w:val="20"/>
              </w:rPr>
              <w:t>020</w:t>
            </w:r>
          </w:p>
        </w:tc>
      </w:tr>
      <w:tr w:rsidR="00DB0205" w:rsidRPr="004C72F7" w14:paraId="617D4F22" w14:textId="77777777" w:rsidTr="00F34AF9">
        <w:trPr>
          <w:cantSplit/>
          <w:trHeight w:val="340"/>
        </w:trPr>
        <w:tc>
          <w:tcPr>
            <w:tcW w:w="1102" w:type="pct"/>
            <w:shd w:val="clear" w:color="auto" w:fill="8EAADB" w:themeFill="accent1" w:themeFillTint="99"/>
          </w:tcPr>
          <w:p w14:paraId="2AC5DD36" w14:textId="00C83A96" w:rsidR="00DB0205" w:rsidRPr="00693C14" w:rsidRDefault="00DB0205" w:rsidP="00693C14">
            <w:pPr>
              <w:spacing w:after="0"/>
              <w:contextualSpacing/>
              <w:rPr>
                <w:rFonts w:ascii="Calibri" w:hAnsi="Calibri" w:cs="Arial"/>
                <w:b/>
                <w:sz w:val="20"/>
                <w:szCs w:val="20"/>
              </w:rPr>
            </w:pPr>
            <w:r>
              <w:rPr>
                <w:rFonts w:ascii="Calibri" w:hAnsi="Calibri" w:cs="Arial"/>
                <w:b/>
                <w:sz w:val="20"/>
                <w:szCs w:val="20"/>
              </w:rPr>
              <w:t>Total Programme Budget</w:t>
            </w:r>
          </w:p>
        </w:tc>
        <w:tc>
          <w:tcPr>
            <w:tcW w:w="3433" w:type="pct"/>
            <w:gridSpan w:val="10"/>
            <w:shd w:val="clear" w:color="auto" w:fill="8EAADB" w:themeFill="accent1" w:themeFillTint="99"/>
          </w:tcPr>
          <w:p w14:paraId="03C42A6D" w14:textId="77777777" w:rsidR="00DB0205" w:rsidRPr="004C72F7" w:rsidRDefault="00DB0205" w:rsidP="00693C14">
            <w:pPr>
              <w:spacing w:after="0"/>
              <w:contextualSpacing/>
              <w:rPr>
                <w:rFonts w:ascii="Calibri" w:hAnsi="Calibri" w:cs="Arial"/>
                <w:sz w:val="20"/>
                <w:szCs w:val="20"/>
              </w:rPr>
            </w:pPr>
          </w:p>
        </w:tc>
        <w:tc>
          <w:tcPr>
            <w:tcW w:w="465" w:type="pct"/>
            <w:shd w:val="clear" w:color="auto" w:fill="8EAADB" w:themeFill="accent1" w:themeFillTint="99"/>
          </w:tcPr>
          <w:p w14:paraId="179C47DB" w14:textId="582C2F70" w:rsidR="00DB0205" w:rsidRPr="004C72F7" w:rsidRDefault="00564F43" w:rsidP="00693C14">
            <w:pPr>
              <w:spacing w:after="0"/>
              <w:contextualSpacing/>
              <w:jc w:val="right"/>
              <w:rPr>
                <w:rFonts w:ascii="Calibri" w:hAnsi="Calibri" w:cs="Arial"/>
                <w:b/>
                <w:bCs/>
                <w:sz w:val="20"/>
                <w:szCs w:val="20"/>
              </w:rPr>
            </w:pPr>
            <w:r w:rsidRPr="004C72F7">
              <w:rPr>
                <w:rFonts w:ascii="Calibri" w:hAnsi="Calibri" w:cs="Arial"/>
                <w:b/>
                <w:bCs/>
                <w:sz w:val="20"/>
                <w:szCs w:val="20"/>
              </w:rPr>
              <w:t>2,700,269</w:t>
            </w:r>
          </w:p>
        </w:tc>
      </w:tr>
      <w:tr w:rsidR="00E824B1" w:rsidRPr="004C72F7" w14:paraId="0AA6D48F" w14:textId="77777777" w:rsidTr="00693C14">
        <w:trPr>
          <w:cantSplit/>
          <w:trHeight w:val="340"/>
        </w:trPr>
        <w:tc>
          <w:tcPr>
            <w:tcW w:w="1102" w:type="pct"/>
          </w:tcPr>
          <w:p w14:paraId="72CD20AD" w14:textId="7A82CD21" w:rsidR="00E824B1" w:rsidRPr="00693C14" w:rsidRDefault="00A52345" w:rsidP="00693C14">
            <w:pPr>
              <w:spacing w:after="0"/>
              <w:contextualSpacing/>
              <w:rPr>
                <w:rFonts w:ascii="Calibri" w:hAnsi="Calibri" w:cs="Arial"/>
                <w:b/>
                <w:sz w:val="20"/>
                <w:szCs w:val="20"/>
              </w:rPr>
            </w:pPr>
            <w:r>
              <w:rPr>
                <w:rFonts w:ascii="Calibri" w:hAnsi="Calibri" w:cs="Arial"/>
                <w:b/>
                <w:sz w:val="20"/>
                <w:szCs w:val="20"/>
              </w:rPr>
              <w:t xml:space="preserve">Coordination Levy </w:t>
            </w:r>
            <w:r w:rsidR="00685EE8">
              <w:rPr>
                <w:rFonts w:ascii="Calibri" w:hAnsi="Calibri" w:cs="Arial"/>
                <w:b/>
                <w:sz w:val="20"/>
                <w:szCs w:val="20"/>
              </w:rPr>
              <w:t>(1%)</w:t>
            </w:r>
          </w:p>
        </w:tc>
        <w:tc>
          <w:tcPr>
            <w:tcW w:w="3433" w:type="pct"/>
            <w:gridSpan w:val="10"/>
          </w:tcPr>
          <w:p w14:paraId="426B8662" w14:textId="77777777" w:rsidR="00E824B1" w:rsidRPr="004C72F7" w:rsidRDefault="00E824B1" w:rsidP="00693C14">
            <w:pPr>
              <w:spacing w:after="0"/>
              <w:contextualSpacing/>
              <w:rPr>
                <w:rFonts w:ascii="Calibri" w:hAnsi="Calibri" w:cs="Arial"/>
                <w:sz w:val="20"/>
                <w:szCs w:val="20"/>
              </w:rPr>
            </w:pPr>
          </w:p>
        </w:tc>
        <w:tc>
          <w:tcPr>
            <w:tcW w:w="465" w:type="pct"/>
          </w:tcPr>
          <w:p w14:paraId="320F290E" w14:textId="47882F69" w:rsidR="00E824B1" w:rsidRPr="004C72F7" w:rsidRDefault="00532EE9" w:rsidP="00693C14">
            <w:pPr>
              <w:spacing w:after="0"/>
              <w:contextualSpacing/>
              <w:jc w:val="right"/>
              <w:rPr>
                <w:rFonts w:ascii="Calibri" w:hAnsi="Calibri" w:cs="Arial"/>
                <w:sz w:val="20"/>
                <w:szCs w:val="20"/>
              </w:rPr>
            </w:pPr>
            <w:r w:rsidRPr="004C72F7">
              <w:rPr>
                <w:rFonts w:ascii="Calibri" w:hAnsi="Calibri" w:cs="Arial"/>
                <w:sz w:val="20"/>
                <w:szCs w:val="20"/>
              </w:rPr>
              <w:t>27</w:t>
            </w:r>
            <w:r w:rsidR="0058709A" w:rsidRPr="004C72F7">
              <w:rPr>
                <w:rFonts w:ascii="Calibri" w:hAnsi="Calibri" w:cs="Arial"/>
                <w:sz w:val="20"/>
                <w:szCs w:val="20"/>
              </w:rPr>
              <w:t>,</w:t>
            </w:r>
            <w:r w:rsidRPr="004C72F7">
              <w:rPr>
                <w:rFonts w:ascii="Calibri" w:hAnsi="Calibri" w:cs="Arial"/>
                <w:sz w:val="20"/>
                <w:szCs w:val="20"/>
              </w:rPr>
              <w:t>003</w:t>
            </w:r>
          </w:p>
        </w:tc>
      </w:tr>
      <w:tr w:rsidR="00A0333B" w:rsidRPr="00693C14" w14:paraId="1C25B598" w14:textId="77777777" w:rsidTr="00693C14">
        <w:trPr>
          <w:cantSplit/>
          <w:trHeight w:val="269"/>
        </w:trPr>
        <w:tc>
          <w:tcPr>
            <w:tcW w:w="1102" w:type="pct"/>
            <w:shd w:val="clear" w:color="auto" w:fill="8EAADB"/>
          </w:tcPr>
          <w:p w14:paraId="79A8CD15" w14:textId="77777777" w:rsidR="00A0333B" w:rsidRPr="00693C14" w:rsidRDefault="00A0333B" w:rsidP="00693C14">
            <w:pPr>
              <w:spacing w:after="0"/>
              <w:contextualSpacing/>
              <w:rPr>
                <w:rFonts w:ascii="Calibri" w:hAnsi="Calibri" w:cs="Arial"/>
                <w:b/>
                <w:sz w:val="20"/>
                <w:szCs w:val="20"/>
              </w:rPr>
            </w:pPr>
            <w:r w:rsidRPr="00693C14">
              <w:rPr>
                <w:rFonts w:ascii="Calibri" w:hAnsi="Calibri" w:cs="Arial"/>
                <w:b/>
                <w:sz w:val="20"/>
                <w:szCs w:val="20"/>
              </w:rPr>
              <w:t>TOTAL</w:t>
            </w:r>
          </w:p>
        </w:tc>
        <w:tc>
          <w:tcPr>
            <w:tcW w:w="1023" w:type="pct"/>
            <w:tcBorders>
              <w:right w:val="nil"/>
            </w:tcBorders>
            <w:shd w:val="clear" w:color="auto" w:fill="8EAADB"/>
          </w:tcPr>
          <w:p w14:paraId="5BD08B20" w14:textId="77777777" w:rsidR="00A0333B" w:rsidRPr="00693C14" w:rsidRDefault="00A0333B" w:rsidP="00693C14">
            <w:pPr>
              <w:spacing w:after="0"/>
              <w:contextualSpacing/>
              <w:rPr>
                <w:rFonts w:ascii="Calibri" w:hAnsi="Calibri" w:cs="Arial"/>
                <w:b/>
                <w:sz w:val="20"/>
                <w:szCs w:val="20"/>
              </w:rPr>
            </w:pPr>
          </w:p>
        </w:tc>
        <w:tc>
          <w:tcPr>
            <w:tcW w:w="293" w:type="pct"/>
            <w:tcBorders>
              <w:left w:val="nil"/>
              <w:right w:val="nil"/>
            </w:tcBorders>
            <w:shd w:val="clear" w:color="auto" w:fill="8EAADB"/>
          </w:tcPr>
          <w:p w14:paraId="6A762510" w14:textId="77777777" w:rsidR="00A0333B" w:rsidRPr="00693C14" w:rsidRDefault="00A0333B" w:rsidP="00693C14">
            <w:pPr>
              <w:spacing w:after="0"/>
              <w:contextualSpacing/>
              <w:rPr>
                <w:rFonts w:ascii="Calibri" w:hAnsi="Calibri" w:cs="Arial"/>
                <w:b/>
                <w:sz w:val="20"/>
                <w:szCs w:val="20"/>
              </w:rPr>
            </w:pPr>
          </w:p>
        </w:tc>
        <w:tc>
          <w:tcPr>
            <w:tcW w:w="326" w:type="pct"/>
            <w:tcBorders>
              <w:left w:val="nil"/>
              <w:right w:val="nil"/>
            </w:tcBorders>
            <w:shd w:val="clear" w:color="auto" w:fill="8EAADB"/>
          </w:tcPr>
          <w:p w14:paraId="5178B9DE" w14:textId="77777777" w:rsidR="00A0333B" w:rsidRPr="00693C14" w:rsidRDefault="00A0333B" w:rsidP="00693C14">
            <w:pPr>
              <w:spacing w:after="0"/>
              <w:contextualSpacing/>
              <w:rPr>
                <w:rFonts w:ascii="Calibri" w:hAnsi="Calibri" w:cs="Arial"/>
                <w:b/>
                <w:sz w:val="20"/>
                <w:szCs w:val="20"/>
              </w:rPr>
            </w:pPr>
          </w:p>
        </w:tc>
        <w:tc>
          <w:tcPr>
            <w:tcW w:w="293" w:type="pct"/>
            <w:tcBorders>
              <w:left w:val="nil"/>
              <w:right w:val="nil"/>
            </w:tcBorders>
            <w:shd w:val="clear" w:color="auto" w:fill="8EAADB"/>
          </w:tcPr>
          <w:p w14:paraId="1F7F586F" w14:textId="77777777" w:rsidR="00A0333B" w:rsidRPr="00693C14" w:rsidRDefault="00A0333B" w:rsidP="00693C14">
            <w:pPr>
              <w:spacing w:after="0"/>
              <w:contextualSpacing/>
              <w:rPr>
                <w:rFonts w:ascii="Calibri" w:hAnsi="Calibri" w:cs="Arial"/>
                <w:b/>
                <w:sz w:val="20"/>
                <w:szCs w:val="20"/>
              </w:rPr>
            </w:pPr>
          </w:p>
        </w:tc>
        <w:tc>
          <w:tcPr>
            <w:tcW w:w="324" w:type="pct"/>
            <w:gridSpan w:val="3"/>
            <w:tcBorders>
              <w:left w:val="nil"/>
              <w:right w:val="nil"/>
            </w:tcBorders>
            <w:shd w:val="clear" w:color="auto" w:fill="8EAADB"/>
          </w:tcPr>
          <w:p w14:paraId="73706B8B" w14:textId="77777777" w:rsidR="00A0333B" w:rsidRPr="00693C14" w:rsidRDefault="00A0333B" w:rsidP="00693C14">
            <w:pPr>
              <w:spacing w:after="0"/>
              <w:contextualSpacing/>
              <w:rPr>
                <w:rFonts w:ascii="Calibri" w:hAnsi="Calibri" w:cs="Arial"/>
                <w:b/>
                <w:sz w:val="20"/>
                <w:szCs w:val="20"/>
              </w:rPr>
            </w:pPr>
          </w:p>
        </w:tc>
        <w:tc>
          <w:tcPr>
            <w:tcW w:w="499" w:type="pct"/>
            <w:gridSpan w:val="2"/>
            <w:tcBorders>
              <w:left w:val="nil"/>
              <w:right w:val="nil"/>
            </w:tcBorders>
            <w:shd w:val="clear" w:color="auto" w:fill="8EAADB"/>
          </w:tcPr>
          <w:p w14:paraId="3ADAAFCE" w14:textId="77777777" w:rsidR="00A0333B" w:rsidRPr="00693C14" w:rsidRDefault="00A0333B" w:rsidP="00693C14">
            <w:pPr>
              <w:spacing w:after="0"/>
              <w:contextualSpacing/>
              <w:rPr>
                <w:rFonts w:ascii="Calibri" w:hAnsi="Calibri" w:cs="Arial"/>
                <w:b/>
                <w:sz w:val="20"/>
                <w:szCs w:val="20"/>
              </w:rPr>
            </w:pPr>
          </w:p>
        </w:tc>
        <w:tc>
          <w:tcPr>
            <w:tcW w:w="675" w:type="pct"/>
            <w:tcBorders>
              <w:left w:val="nil"/>
            </w:tcBorders>
            <w:shd w:val="clear" w:color="auto" w:fill="8EAADB"/>
          </w:tcPr>
          <w:p w14:paraId="7297327F" w14:textId="77777777" w:rsidR="00A0333B" w:rsidRPr="00693C14" w:rsidRDefault="00A0333B" w:rsidP="00693C14">
            <w:pPr>
              <w:spacing w:after="0"/>
              <w:contextualSpacing/>
              <w:rPr>
                <w:rFonts w:ascii="Calibri" w:hAnsi="Calibri" w:cs="Arial"/>
                <w:b/>
                <w:sz w:val="20"/>
                <w:szCs w:val="20"/>
              </w:rPr>
            </w:pPr>
          </w:p>
        </w:tc>
        <w:tc>
          <w:tcPr>
            <w:tcW w:w="465" w:type="pct"/>
            <w:shd w:val="clear" w:color="auto" w:fill="8EAADB"/>
          </w:tcPr>
          <w:p w14:paraId="2D7928F9" w14:textId="0812B01D" w:rsidR="00A0333B" w:rsidRPr="00693C14" w:rsidRDefault="00FD7FB3" w:rsidP="00693C14">
            <w:pPr>
              <w:spacing w:after="0"/>
              <w:contextualSpacing/>
              <w:jc w:val="right"/>
              <w:rPr>
                <w:rFonts w:ascii="Calibri" w:hAnsi="Calibri" w:cs="Arial"/>
                <w:b/>
                <w:sz w:val="20"/>
                <w:szCs w:val="20"/>
              </w:rPr>
            </w:pPr>
            <w:r w:rsidRPr="00693C14">
              <w:rPr>
                <w:rFonts w:ascii="Calibri" w:hAnsi="Calibri" w:cs="Arial"/>
                <w:b/>
                <w:sz w:val="20"/>
                <w:szCs w:val="20"/>
              </w:rPr>
              <w:t>2,7</w:t>
            </w:r>
            <w:r w:rsidR="00E87D17">
              <w:rPr>
                <w:rFonts w:ascii="Calibri" w:hAnsi="Calibri" w:cs="Arial"/>
                <w:b/>
                <w:sz w:val="20"/>
                <w:szCs w:val="20"/>
              </w:rPr>
              <w:t>27,272</w:t>
            </w:r>
          </w:p>
        </w:tc>
      </w:tr>
    </w:tbl>
    <w:p w14:paraId="6DB45997" w14:textId="77777777" w:rsidR="00955924" w:rsidRPr="00693C14" w:rsidRDefault="005A2DB4" w:rsidP="00693C14">
      <w:pPr>
        <w:spacing w:after="0"/>
        <w:contextualSpacing/>
        <w:rPr>
          <w:rFonts w:ascii="Calibri" w:hAnsi="Calibri"/>
          <w:b/>
          <w:sz w:val="20"/>
          <w:szCs w:val="20"/>
        </w:rPr>
        <w:sectPr w:rsidR="00955924" w:rsidRPr="00693C14" w:rsidSect="00F34AF9">
          <w:pgSz w:w="15840" w:h="12240" w:orient="landscape" w:code="1"/>
          <w:pgMar w:top="1152" w:right="864" w:bottom="1152" w:left="864" w:header="720" w:footer="432" w:gutter="0"/>
          <w:cols w:space="708"/>
          <w:titlePg/>
          <w:docGrid w:linePitch="360"/>
        </w:sectPr>
      </w:pPr>
      <w:r w:rsidRPr="00693C14">
        <w:rPr>
          <w:rFonts w:ascii="Calibri" w:hAnsi="Calibri" w:cs="Arial"/>
          <w:sz w:val="20"/>
          <w:szCs w:val="20"/>
        </w:rPr>
        <w:t xml:space="preserve"> </w:t>
      </w:r>
    </w:p>
    <w:p w14:paraId="3ADDD9BC" w14:textId="77777777" w:rsidR="008F1069" w:rsidRPr="008C2B83" w:rsidRDefault="00962E7C" w:rsidP="008F1069">
      <w:pPr>
        <w:pStyle w:val="Heading1"/>
      </w:pPr>
      <w:r w:rsidRPr="00B956D9">
        <w:t xml:space="preserve">Governance and </w:t>
      </w:r>
      <w:r w:rsidR="008F1069" w:rsidRPr="00B956D9">
        <w:t xml:space="preserve">Management </w:t>
      </w:r>
      <w:r w:rsidR="008F1069" w:rsidRPr="005125CB">
        <w:t>Arrangements</w:t>
      </w:r>
    </w:p>
    <w:p w14:paraId="76B3BF23" w14:textId="371BBE09" w:rsidR="00A0333B" w:rsidRDefault="0061021A" w:rsidP="00A0333B">
      <w:pPr>
        <w:spacing w:after="120"/>
        <w:rPr>
          <w:rFonts w:cs="Arial"/>
          <w:szCs w:val="22"/>
        </w:rPr>
      </w:pPr>
      <w:r w:rsidRPr="008C2B83">
        <w:rPr>
          <w:rFonts w:cs="Arial"/>
          <w:szCs w:val="22"/>
        </w:rPr>
        <w:t xml:space="preserve">UNDP </w:t>
      </w:r>
      <w:r w:rsidRPr="008D0D26">
        <w:rPr>
          <w:rFonts w:cs="Arial"/>
          <w:szCs w:val="22"/>
        </w:rPr>
        <w:t>will establish the Project Board</w:t>
      </w:r>
      <w:r>
        <w:rPr>
          <w:rFonts w:cs="Arial"/>
          <w:szCs w:val="22"/>
        </w:rPr>
        <w:t xml:space="preserve"> as oversight and advisory authority, representing the highest body for coordination, strategic guidance, oversight, and quality assurance. </w:t>
      </w:r>
      <w:r w:rsidR="00426002">
        <w:rPr>
          <w:rFonts w:cs="Arial"/>
          <w:szCs w:val="22"/>
        </w:rPr>
        <w:t>The body will facilitate collaboration between UNDP, donors, government partners and other stake holders for the implementation of the Project. The Project Board will review and endorse the Annual World Plans (AWPs), will provide strategic direction and oversight, will review implementation progress, and will review narrative and financial progress reports. The Project Board will be convened by UNDP and meet at least on a bi-annual basis.</w:t>
      </w:r>
    </w:p>
    <w:p w14:paraId="68B888BD" w14:textId="5954DC12" w:rsidR="008F1069" w:rsidRPr="00F64B46" w:rsidRDefault="00426002" w:rsidP="00F64B46">
      <w:pPr>
        <w:spacing w:after="120"/>
        <w:rPr>
          <w:rFonts w:cs="Arial"/>
          <w:szCs w:val="22"/>
        </w:rPr>
      </w:pPr>
      <w:r>
        <w:rPr>
          <w:rFonts w:cs="Arial"/>
          <w:szCs w:val="22"/>
        </w:rPr>
        <w:t xml:space="preserve">The Project Board will be chaired by the UN Resident Coordinator and UNDP Resident Representative. Representative of Libya Government and donors’ representatives will also attend the Project Board meetings. UNDP will also consult the relevant government Ministries </w:t>
      </w:r>
      <w:r w:rsidR="00F64B46">
        <w:rPr>
          <w:rFonts w:cs="Arial"/>
          <w:szCs w:val="22"/>
        </w:rPr>
        <w:t>and as needed, other interested stakeholders in conjunction with Project Board meetings. This may include civil society organizations, private sector institutions and a number of international developments.</w:t>
      </w:r>
    </w:p>
    <w:sectPr w:rsidR="008F1069" w:rsidRPr="00F64B46"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0FD86" w14:textId="77777777" w:rsidR="00627F5A" w:rsidRDefault="00627F5A">
      <w:r>
        <w:separator/>
      </w:r>
    </w:p>
  </w:endnote>
  <w:endnote w:type="continuationSeparator" w:id="0">
    <w:p w14:paraId="197FF2D8" w14:textId="77777777" w:rsidR="00627F5A" w:rsidRDefault="00627F5A">
      <w:r>
        <w:continuationSeparator/>
      </w:r>
    </w:p>
  </w:endnote>
  <w:endnote w:type="continuationNotice" w:id="1">
    <w:p w14:paraId="357A15F9" w14:textId="77777777" w:rsidR="00627F5A" w:rsidRDefault="00627F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D83C" w14:textId="77777777" w:rsidR="00976C16" w:rsidRDefault="00976C16"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E3E40" w14:textId="77777777" w:rsidR="00976C16" w:rsidRDefault="0097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7438" w14:textId="77777777" w:rsidR="00976C16" w:rsidRDefault="00976C16"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5590" w14:textId="77777777" w:rsidR="00976C16" w:rsidRDefault="00976C16">
    <w:pPr>
      <w:pStyle w:val="Footer"/>
      <w:jc w:val="right"/>
    </w:pPr>
    <w:r>
      <w:fldChar w:fldCharType="begin"/>
    </w:r>
    <w:r>
      <w:instrText xml:space="preserve"> PAGE   \* MERGEFORMAT </w:instrText>
    </w:r>
    <w:r>
      <w:fldChar w:fldCharType="separate"/>
    </w:r>
    <w:r>
      <w:rPr>
        <w:noProof/>
      </w:rPr>
      <w:t>16</w:t>
    </w:r>
    <w:r>
      <w:rPr>
        <w:noProof/>
      </w:rPr>
      <w:fldChar w:fldCharType="end"/>
    </w:r>
  </w:p>
  <w:p w14:paraId="126234C8" w14:textId="77777777" w:rsidR="00976C16" w:rsidRDefault="00976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CDC5" w14:textId="77777777" w:rsidR="00627F5A" w:rsidRDefault="00627F5A">
      <w:r>
        <w:separator/>
      </w:r>
    </w:p>
  </w:footnote>
  <w:footnote w:type="continuationSeparator" w:id="0">
    <w:p w14:paraId="6D7AE3C7" w14:textId="77777777" w:rsidR="00627F5A" w:rsidRDefault="00627F5A">
      <w:r>
        <w:continuationSeparator/>
      </w:r>
    </w:p>
  </w:footnote>
  <w:footnote w:type="continuationNotice" w:id="1">
    <w:p w14:paraId="5E4CBD25" w14:textId="77777777" w:rsidR="00627F5A" w:rsidRDefault="00627F5A">
      <w:pPr>
        <w:spacing w:after="0"/>
      </w:pPr>
    </w:p>
  </w:footnote>
  <w:footnote w:id="2">
    <w:p w14:paraId="4D7B1A3A" w14:textId="77777777" w:rsidR="00976C16" w:rsidRPr="00AA02A1" w:rsidRDefault="00976C16" w:rsidP="00D22194">
      <w:pPr>
        <w:pStyle w:val="FootnoteText"/>
        <w:spacing w:after="0"/>
      </w:pPr>
      <w:r>
        <w:rPr>
          <w:rFonts w:ascii="Calibri" w:hAnsi="Calibri"/>
          <w:sz w:val="20"/>
          <w:vertAlign w:val="superscript"/>
        </w:rPr>
        <w:t>1</w:t>
      </w:r>
      <w:r w:rsidRPr="00AA02A1">
        <w:rPr>
          <w:rFonts w:ascii="Calibri" w:hAnsi="Calibri"/>
          <w:sz w:val="20"/>
          <w:vertAlign w:val="superscript"/>
        </w:rPr>
        <w:t xml:space="preserve"> </w:t>
      </w:r>
      <w:r>
        <w:rPr>
          <w:rFonts w:ascii="Calibri" w:hAnsi="Calibri"/>
          <w:sz w:val="20"/>
          <w:vertAlign w:val="superscript"/>
        </w:rPr>
        <w:t xml:space="preserve"> </w:t>
      </w:r>
      <w:r w:rsidRPr="00566577">
        <w:rPr>
          <w:rFonts w:ascii="Calibri" w:hAnsi="Calibri"/>
          <w:sz w:val="20"/>
        </w:rPr>
        <w:t xml:space="preserve">The Gender Marker measures how much a project invests in gender equality and women’s empowerment. </w:t>
      </w:r>
      <w:r>
        <w:rPr>
          <w:rFonts w:ascii="Calibri" w:hAnsi="Calibri"/>
          <w:sz w:val="20"/>
        </w:rPr>
        <w:t>S</w:t>
      </w:r>
      <w:r w:rsidRPr="006844FD">
        <w:rPr>
          <w:rFonts w:ascii="Calibri" w:hAnsi="Calibri"/>
          <w:sz w:val="20"/>
        </w:rPr>
        <w:t>elect one</w:t>
      </w:r>
      <w:r>
        <w:rPr>
          <w:rFonts w:ascii="Calibri" w:hAnsi="Calibri"/>
          <w:sz w:val="20"/>
        </w:rPr>
        <w:t xml:space="preserve"> for each output</w:t>
      </w:r>
      <w:r w:rsidRPr="006844FD">
        <w:rPr>
          <w:rFonts w:ascii="Calibri" w:hAnsi="Calibri"/>
          <w:sz w:val="20"/>
        </w:rPr>
        <w:t xml:space="preserve">: GEN3 (Gender equality as a principle objective); GEN2 (Gender equality as a significant objective); GEN1 (Limited contribution to gender equality); GEN0 (No contribution to gender quality) </w:t>
      </w:r>
      <w:r>
        <w:t xml:space="preserve"> </w:t>
      </w:r>
    </w:p>
    <w:p w14:paraId="06A9FBDD" w14:textId="77777777" w:rsidR="00976C16" w:rsidRDefault="00976C16" w:rsidP="00D22194">
      <w:pPr>
        <w:pStyle w:val="FootnoteText"/>
        <w:spacing w:after="0"/>
      </w:pPr>
    </w:p>
  </w:footnote>
  <w:footnote w:id="3">
    <w:p w14:paraId="71512ACF" w14:textId="6094033F" w:rsidR="00BE3147" w:rsidRDefault="00BE3147">
      <w:pPr>
        <w:pStyle w:val="FootnoteText"/>
      </w:pPr>
      <w:r>
        <w:rPr>
          <w:rStyle w:val="FootnoteReference"/>
        </w:rPr>
        <w:footnoteRef/>
      </w:r>
      <w:r>
        <w:t xml:space="preserve"> </w:t>
      </w:r>
      <w:r w:rsidR="00C82B51">
        <w:t xml:space="preserve">UN OCHA: Libya: </w:t>
      </w:r>
      <w:r w:rsidR="00DD2FB3">
        <w:t xml:space="preserve">Humanitarian Needs Overview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5475" w14:textId="77777777" w:rsidR="00976C16" w:rsidRPr="00453D4C" w:rsidRDefault="00976C16"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BA2A" w14:textId="50E94D00" w:rsidR="00976C16" w:rsidRPr="00AF6E8B" w:rsidRDefault="00976C16" w:rsidP="000776E9">
    <w:pPr>
      <w:rPr>
        <w:rFonts w:cs="Arial"/>
        <w:color w:val="002060"/>
        <w:sz w:val="20"/>
        <w:szCs w:val="20"/>
      </w:rPr>
    </w:pPr>
    <w:r w:rsidRPr="00AF6E8B">
      <w:rPr>
        <w:rFonts w:cs="Arial"/>
        <w:noProof/>
        <w:sz w:val="20"/>
        <w:szCs w:val="20"/>
        <w:lang w:val="en-US"/>
      </w:rPr>
      <w:drawing>
        <wp:anchor distT="0" distB="0" distL="114300" distR="114300" simplePos="0" relativeHeight="251657728" behindDoc="0" locked="0" layoutInCell="1" allowOverlap="1" wp14:anchorId="38095703" wp14:editId="4AE511D1">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1954C0B1" w14:textId="77777777" w:rsidR="00976C16" w:rsidRPr="00AF6E8B" w:rsidRDefault="00976C16" w:rsidP="000776E9">
    <w:pPr>
      <w:rPr>
        <w:rFonts w:cs="Arial"/>
        <w:color w:val="002060"/>
      </w:rPr>
    </w:pPr>
  </w:p>
  <w:p w14:paraId="6370FB33" w14:textId="77777777" w:rsidR="00976C16" w:rsidRPr="00AF6E8B" w:rsidRDefault="00976C16" w:rsidP="000776E9">
    <w:pPr>
      <w:jc w:val="center"/>
      <w:rPr>
        <w:rFonts w:cs="Arial"/>
        <w:b/>
        <w:color w:val="002060"/>
        <w:sz w:val="20"/>
        <w:szCs w:val="20"/>
        <w:u w:val="single"/>
      </w:rPr>
    </w:pPr>
    <w:r w:rsidRPr="00AF6E8B">
      <w:rPr>
        <w:rFonts w:cs="Arial"/>
        <w:b/>
        <w:color w:val="002060"/>
        <w:sz w:val="20"/>
        <w:szCs w:val="20"/>
        <w:u w:val="single"/>
      </w:rPr>
      <w:t>PROJECT DOCUMENT</w:t>
    </w:r>
  </w:p>
  <w:p w14:paraId="0061B683" w14:textId="1811536D" w:rsidR="00976C16" w:rsidRPr="00AF6E8B" w:rsidRDefault="00976C16" w:rsidP="000776E9">
    <w:pPr>
      <w:jc w:val="center"/>
      <w:rPr>
        <w:rFonts w:cs="Arial"/>
        <w:b/>
        <w:i/>
        <w:color w:val="002060"/>
        <w:sz w:val="20"/>
        <w:szCs w:val="20"/>
        <w:u w:val="single"/>
      </w:rPr>
    </w:pPr>
    <w:r>
      <w:rPr>
        <w:rFonts w:cs="Arial"/>
        <w:b/>
        <w:i/>
        <w:color w:val="002060"/>
        <w:sz w:val="20"/>
        <w:szCs w:val="20"/>
        <w:u w:val="single"/>
      </w:rPr>
      <w:t>LIBYA</w:t>
    </w:r>
  </w:p>
  <w:p w14:paraId="3FA3710B" w14:textId="77777777" w:rsidR="00976C16" w:rsidRDefault="00976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E3FC" w14:textId="77777777" w:rsidR="00976C16" w:rsidRDefault="00976C16">
    <w:pPr>
      <w:pStyle w:val="Header"/>
      <w:rPr>
        <w:b/>
        <w:szCs w:val="22"/>
      </w:rPr>
    </w:pPr>
  </w:p>
  <w:p w14:paraId="0825F7FE" w14:textId="77777777" w:rsidR="00976C16" w:rsidRPr="00DB520F" w:rsidRDefault="00976C16">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15:restartNumberingAfterBreak="0">
    <w:nsid w:val="FFFFFF1D"/>
    <w:multiLevelType w:val="multilevel"/>
    <w:tmpl w:val="21F4FF16"/>
    <w:lvl w:ilvl="0">
      <w:start w:val="1"/>
      <w:numFmt w:val="bullet"/>
      <w:lvlText w:val=""/>
      <w:lvlJc w:val="left"/>
      <w:pPr>
        <w:tabs>
          <w:tab w:val="num" w:pos="9639"/>
        </w:tabs>
        <w:ind w:left="9639" w:firstLine="0"/>
      </w:pPr>
      <w:rPr>
        <w:rFonts w:ascii="Symbol" w:hAnsi="Symbol" w:hint="default"/>
      </w:rPr>
    </w:lvl>
    <w:lvl w:ilvl="1">
      <w:start w:val="1"/>
      <w:numFmt w:val="bullet"/>
      <w:lvlText w:val=""/>
      <w:lvlJc w:val="left"/>
      <w:pPr>
        <w:tabs>
          <w:tab w:val="num" w:pos="10359"/>
        </w:tabs>
        <w:ind w:left="10719" w:hanging="360"/>
      </w:pPr>
      <w:rPr>
        <w:rFonts w:ascii="Symbol" w:hAnsi="Symbol" w:hint="default"/>
      </w:rPr>
    </w:lvl>
    <w:lvl w:ilvl="2">
      <w:start w:val="1"/>
      <w:numFmt w:val="bullet"/>
      <w:lvlText w:val="o"/>
      <w:lvlJc w:val="left"/>
      <w:pPr>
        <w:tabs>
          <w:tab w:val="num" w:pos="11079"/>
        </w:tabs>
        <w:ind w:left="11439" w:hanging="360"/>
      </w:pPr>
      <w:rPr>
        <w:rFonts w:ascii="Courier New" w:hAnsi="Courier New" w:cs="Courier New" w:hint="default"/>
      </w:rPr>
    </w:lvl>
    <w:lvl w:ilvl="3">
      <w:start w:val="1"/>
      <w:numFmt w:val="bullet"/>
      <w:lvlText w:val=""/>
      <w:lvlJc w:val="left"/>
      <w:pPr>
        <w:tabs>
          <w:tab w:val="num" w:pos="11799"/>
        </w:tabs>
        <w:ind w:left="12159" w:hanging="360"/>
      </w:pPr>
      <w:rPr>
        <w:rFonts w:ascii="Wingdings" w:hAnsi="Wingdings" w:hint="default"/>
      </w:rPr>
    </w:lvl>
    <w:lvl w:ilvl="4">
      <w:start w:val="1"/>
      <w:numFmt w:val="bullet"/>
      <w:lvlText w:val=""/>
      <w:lvlJc w:val="left"/>
      <w:pPr>
        <w:tabs>
          <w:tab w:val="num" w:pos="12519"/>
        </w:tabs>
        <w:ind w:left="12879" w:hanging="360"/>
      </w:pPr>
      <w:rPr>
        <w:rFonts w:ascii="Wingdings" w:hAnsi="Wingdings" w:hint="default"/>
      </w:rPr>
    </w:lvl>
    <w:lvl w:ilvl="5">
      <w:start w:val="1"/>
      <w:numFmt w:val="bullet"/>
      <w:lvlText w:val=""/>
      <w:lvlJc w:val="left"/>
      <w:pPr>
        <w:tabs>
          <w:tab w:val="num" w:pos="13239"/>
        </w:tabs>
        <w:ind w:left="13599" w:hanging="360"/>
      </w:pPr>
      <w:rPr>
        <w:rFonts w:ascii="Symbol" w:hAnsi="Symbol" w:hint="default"/>
      </w:rPr>
    </w:lvl>
    <w:lvl w:ilvl="6">
      <w:start w:val="1"/>
      <w:numFmt w:val="bullet"/>
      <w:lvlText w:val="o"/>
      <w:lvlJc w:val="left"/>
      <w:pPr>
        <w:tabs>
          <w:tab w:val="num" w:pos="13959"/>
        </w:tabs>
        <w:ind w:left="14319" w:hanging="360"/>
      </w:pPr>
      <w:rPr>
        <w:rFonts w:ascii="Courier New" w:hAnsi="Courier New" w:cs="Courier New" w:hint="default"/>
      </w:rPr>
    </w:lvl>
    <w:lvl w:ilvl="7">
      <w:start w:val="1"/>
      <w:numFmt w:val="bullet"/>
      <w:lvlText w:val=""/>
      <w:lvlJc w:val="left"/>
      <w:pPr>
        <w:tabs>
          <w:tab w:val="num" w:pos="14679"/>
        </w:tabs>
        <w:ind w:left="15039" w:hanging="360"/>
      </w:pPr>
      <w:rPr>
        <w:rFonts w:ascii="Wingdings" w:hAnsi="Wingdings" w:hint="default"/>
      </w:rPr>
    </w:lvl>
    <w:lvl w:ilvl="8">
      <w:start w:val="1"/>
      <w:numFmt w:val="bullet"/>
      <w:lvlText w:val=""/>
      <w:lvlJc w:val="left"/>
      <w:pPr>
        <w:tabs>
          <w:tab w:val="num" w:pos="15399"/>
        </w:tabs>
        <w:ind w:left="15759" w:hanging="360"/>
      </w:pPr>
      <w:rPr>
        <w:rFonts w:ascii="Wingdings" w:hAnsi="Wingdings" w:hint="default"/>
      </w:rPr>
    </w:lvl>
  </w:abstractNum>
  <w:abstractNum w:abstractNumId="1" w15:restartNumberingAfterBreak="0">
    <w:nsid w:val="02B3489F"/>
    <w:multiLevelType w:val="hybridMultilevel"/>
    <w:tmpl w:val="275EB2A0"/>
    <w:lvl w:ilvl="0" w:tplc="EA8A50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64F2D"/>
    <w:multiLevelType w:val="hybridMultilevel"/>
    <w:tmpl w:val="61CC3150"/>
    <w:lvl w:ilvl="0" w:tplc="B8A64D3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E37DF5"/>
    <w:multiLevelType w:val="hybridMultilevel"/>
    <w:tmpl w:val="A0A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33CED"/>
    <w:multiLevelType w:val="hybridMultilevel"/>
    <w:tmpl w:val="8D78C5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13484"/>
    <w:multiLevelType w:val="hybridMultilevel"/>
    <w:tmpl w:val="EC480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A463E"/>
    <w:multiLevelType w:val="hybridMultilevel"/>
    <w:tmpl w:val="52501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39549A"/>
    <w:multiLevelType w:val="hybridMultilevel"/>
    <w:tmpl w:val="4F34F1D6"/>
    <w:lvl w:ilvl="0" w:tplc="4C84C7F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754F15"/>
    <w:multiLevelType w:val="hybridMultilevel"/>
    <w:tmpl w:val="3A5644F8"/>
    <w:lvl w:ilvl="0" w:tplc="26DC0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614B0"/>
    <w:multiLevelType w:val="hybridMultilevel"/>
    <w:tmpl w:val="BDE4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C26754D"/>
    <w:multiLevelType w:val="hybridMultilevel"/>
    <w:tmpl w:val="E6C844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454B1"/>
    <w:multiLevelType w:val="hybridMultilevel"/>
    <w:tmpl w:val="47A84624"/>
    <w:lvl w:ilvl="0" w:tplc="0D386C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BD5BCD"/>
    <w:multiLevelType w:val="hybridMultilevel"/>
    <w:tmpl w:val="ABE06524"/>
    <w:lvl w:ilvl="0" w:tplc="0CCE9438">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956754"/>
    <w:multiLevelType w:val="hybridMultilevel"/>
    <w:tmpl w:val="1A601BE8"/>
    <w:lvl w:ilvl="0" w:tplc="6D5E113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AE1146"/>
    <w:multiLevelType w:val="hybridMultilevel"/>
    <w:tmpl w:val="BF44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0054A6"/>
    <w:multiLevelType w:val="hybridMultilevel"/>
    <w:tmpl w:val="7D746C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61012EE"/>
    <w:multiLevelType w:val="multilevel"/>
    <w:tmpl w:val="B122D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8F4750"/>
    <w:multiLevelType w:val="hybridMultilevel"/>
    <w:tmpl w:val="73EECDEA"/>
    <w:lvl w:ilvl="0" w:tplc="3F62E91C">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442C5"/>
    <w:multiLevelType w:val="hybridMultilevel"/>
    <w:tmpl w:val="E50E1014"/>
    <w:lvl w:ilvl="0" w:tplc="B8A64D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A5B4EDA"/>
    <w:multiLevelType w:val="hybridMultilevel"/>
    <w:tmpl w:val="997A46E8"/>
    <w:lvl w:ilvl="0" w:tplc="6D5E113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5746AA"/>
    <w:multiLevelType w:val="hybridMultilevel"/>
    <w:tmpl w:val="C046CBE8"/>
    <w:lvl w:ilvl="0" w:tplc="C8DE8AB4">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3537CC"/>
    <w:multiLevelType w:val="hybridMultilevel"/>
    <w:tmpl w:val="95601A34"/>
    <w:lvl w:ilvl="0" w:tplc="6D5E113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852212"/>
    <w:multiLevelType w:val="hybridMultilevel"/>
    <w:tmpl w:val="75466FF6"/>
    <w:lvl w:ilvl="0" w:tplc="A9A6C4AE">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DF6604A"/>
    <w:multiLevelType w:val="hybridMultilevel"/>
    <w:tmpl w:val="37AACF3E"/>
    <w:lvl w:ilvl="0" w:tplc="08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61C17301"/>
    <w:multiLevelType w:val="hybridMultilevel"/>
    <w:tmpl w:val="4258B540"/>
    <w:lvl w:ilvl="0" w:tplc="30CEDC18">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E356C4"/>
    <w:multiLevelType w:val="hybridMultilevel"/>
    <w:tmpl w:val="0D665DA8"/>
    <w:lvl w:ilvl="0" w:tplc="288A7EF4">
      <w:start w:val="6"/>
      <w:numFmt w:val="decimal"/>
      <w:lvlText w:val="%1."/>
      <w:lvlJc w:val="left"/>
      <w:pPr>
        <w:ind w:left="720" w:hanging="360"/>
      </w:pPr>
      <w:rPr>
        <w:rFonts w:hint="default"/>
        <w:i w:val="0"/>
      </w:rPr>
    </w:lvl>
    <w:lvl w:ilvl="1" w:tplc="49E8A8D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0B187A"/>
    <w:multiLevelType w:val="hybridMultilevel"/>
    <w:tmpl w:val="03645492"/>
    <w:lvl w:ilvl="0" w:tplc="5D286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576222"/>
    <w:multiLevelType w:val="hybridMultilevel"/>
    <w:tmpl w:val="1D2ED79C"/>
    <w:lvl w:ilvl="0" w:tplc="26DC0C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7506487A"/>
    <w:multiLevelType w:val="hybridMultilevel"/>
    <w:tmpl w:val="5CDA88B4"/>
    <w:lvl w:ilvl="0" w:tplc="26DC0C0E">
      <w:start w:val="1"/>
      <w:numFmt w:val="bullet"/>
      <w:lvlText w:val=""/>
      <w:lvlJc w:val="left"/>
      <w:pPr>
        <w:ind w:left="720" w:hanging="360"/>
      </w:pPr>
      <w:rPr>
        <w:rFonts w:ascii="Symbol" w:hAnsi="Symbol" w:hint="default"/>
      </w:rPr>
    </w:lvl>
    <w:lvl w:ilvl="1" w:tplc="26DC0C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EF5C40"/>
    <w:multiLevelType w:val="hybridMultilevel"/>
    <w:tmpl w:val="5B9AA3C6"/>
    <w:lvl w:ilvl="0" w:tplc="7C72BF8E">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B4CAA"/>
    <w:multiLevelType w:val="hybridMultilevel"/>
    <w:tmpl w:val="01044648"/>
    <w:lvl w:ilvl="0" w:tplc="2536DE2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6A1214"/>
    <w:multiLevelType w:val="hybridMultilevel"/>
    <w:tmpl w:val="9C3C2BAE"/>
    <w:lvl w:ilvl="0" w:tplc="4D8449AC">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62" w15:restartNumberingAfterBreak="0">
    <w:nsid w:val="7DF040FF"/>
    <w:multiLevelType w:val="hybridMultilevel"/>
    <w:tmpl w:val="8556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46"/>
  </w:num>
  <w:num w:numId="3">
    <w:abstractNumId w:val="14"/>
  </w:num>
  <w:num w:numId="4">
    <w:abstractNumId w:val="14"/>
    <w:lvlOverride w:ilvl="0">
      <w:startOverride w:val="1"/>
    </w:lvlOverride>
  </w:num>
  <w:num w:numId="5">
    <w:abstractNumId w:val="21"/>
  </w:num>
  <w:num w:numId="6">
    <w:abstractNumId w:val="53"/>
  </w:num>
  <w:num w:numId="7">
    <w:abstractNumId w:val="25"/>
  </w:num>
  <w:num w:numId="8">
    <w:abstractNumId w:val="17"/>
  </w:num>
  <w:num w:numId="9">
    <w:abstractNumId w:val="44"/>
  </w:num>
  <w:num w:numId="10">
    <w:abstractNumId w:val="38"/>
  </w:num>
  <w:num w:numId="11">
    <w:abstractNumId w:val="2"/>
  </w:num>
  <w:num w:numId="12">
    <w:abstractNumId w:val="13"/>
  </w:num>
  <w:num w:numId="13">
    <w:abstractNumId w:val="31"/>
  </w:num>
  <w:num w:numId="14">
    <w:abstractNumId w:val="43"/>
  </w:num>
  <w:num w:numId="15">
    <w:abstractNumId w:val="3"/>
  </w:num>
  <w:num w:numId="16">
    <w:abstractNumId w:val="45"/>
  </w:num>
  <w:num w:numId="17">
    <w:abstractNumId w:val="29"/>
  </w:num>
  <w:num w:numId="18">
    <w:abstractNumId w:val="18"/>
  </w:num>
  <w:num w:numId="19">
    <w:abstractNumId w:val="10"/>
  </w:num>
  <w:num w:numId="20">
    <w:abstractNumId w:val="61"/>
  </w:num>
  <w:num w:numId="21">
    <w:abstractNumId w:val="14"/>
  </w:num>
  <w:num w:numId="22">
    <w:abstractNumId w:val="12"/>
  </w:num>
  <w:num w:numId="23">
    <w:abstractNumId w:val="23"/>
  </w:num>
  <w:num w:numId="24">
    <w:abstractNumId w:val="26"/>
  </w:num>
  <w:num w:numId="25">
    <w:abstractNumId w:val="32"/>
  </w:num>
  <w:num w:numId="26">
    <w:abstractNumId w:val="22"/>
  </w:num>
  <w:num w:numId="27">
    <w:abstractNumId w:val="48"/>
  </w:num>
  <w:num w:numId="28">
    <w:abstractNumId w:val="55"/>
  </w:num>
  <w:num w:numId="29">
    <w:abstractNumId w:val="47"/>
  </w:num>
  <w:num w:numId="30">
    <w:abstractNumId w:val="33"/>
  </w:num>
  <w:num w:numId="31">
    <w:abstractNumId w:val="0"/>
  </w:num>
  <w:num w:numId="32">
    <w:abstractNumId w:val="11"/>
  </w:num>
  <w:num w:numId="33">
    <w:abstractNumId w:val="56"/>
  </w:num>
  <w:num w:numId="34">
    <w:abstractNumId w:val="52"/>
  </w:num>
  <w:num w:numId="35">
    <w:abstractNumId w:val="19"/>
  </w:num>
  <w:num w:numId="36">
    <w:abstractNumId w:val="54"/>
  </w:num>
  <w:num w:numId="37">
    <w:abstractNumId w:val="37"/>
  </w:num>
  <w:num w:numId="38">
    <w:abstractNumId w:val="42"/>
  </w:num>
  <w:num w:numId="39">
    <w:abstractNumId w:val="4"/>
  </w:num>
  <w:num w:numId="40">
    <w:abstractNumId w:val="59"/>
  </w:num>
  <w:num w:numId="41">
    <w:abstractNumId w:val="8"/>
  </w:num>
  <w:num w:numId="42">
    <w:abstractNumId w:val="57"/>
  </w:num>
  <w:num w:numId="43">
    <w:abstractNumId w:val="50"/>
  </w:num>
  <w:num w:numId="44">
    <w:abstractNumId w:val="41"/>
  </w:num>
  <w:num w:numId="45">
    <w:abstractNumId w:val="58"/>
  </w:num>
  <w:num w:numId="46">
    <w:abstractNumId w:val="35"/>
  </w:num>
  <w:num w:numId="47">
    <w:abstractNumId w:val="5"/>
  </w:num>
  <w:num w:numId="48">
    <w:abstractNumId w:val="30"/>
  </w:num>
  <w:num w:numId="49">
    <w:abstractNumId w:val="20"/>
  </w:num>
  <w:num w:numId="50">
    <w:abstractNumId w:val="1"/>
  </w:num>
  <w:num w:numId="51">
    <w:abstractNumId w:val="9"/>
  </w:num>
  <w:num w:numId="52">
    <w:abstractNumId w:val="62"/>
  </w:num>
  <w:num w:numId="53">
    <w:abstractNumId w:val="24"/>
  </w:num>
  <w:num w:numId="54">
    <w:abstractNumId w:val="6"/>
  </w:num>
  <w:num w:numId="55">
    <w:abstractNumId w:val="51"/>
  </w:num>
  <w:num w:numId="56">
    <w:abstractNumId w:val="16"/>
  </w:num>
  <w:num w:numId="57">
    <w:abstractNumId w:val="28"/>
  </w:num>
  <w:num w:numId="58">
    <w:abstractNumId w:val="7"/>
  </w:num>
  <w:num w:numId="59">
    <w:abstractNumId w:val="39"/>
  </w:num>
  <w:num w:numId="60">
    <w:abstractNumId w:val="34"/>
  </w:num>
  <w:num w:numId="61">
    <w:abstractNumId w:val="49"/>
  </w:num>
  <w:num w:numId="62">
    <w:abstractNumId w:val="60"/>
  </w:num>
  <w:num w:numId="63">
    <w:abstractNumId w:val="27"/>
  </w:num>
  <w:num w:numId="64">
    <w:abstractNumId w:val="40"/>
  </w:num>
  <w:num w:numId="6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0NLewtDQ2sjQzNDZW0lEKTi0uzszPAykwqgUAVv7OHywAAAA="/>
  </w:docVars>
  <w:rsids>
    <w:rsidRoot w:val="00991FF7"/>
    <w:rsid w:val="000011D6"/>
    <w:rsid w:val="000049CA"/>
    <w:rsid w:val="000057AA"/>
    <w:rsid w:val="00006472"/>
    <w:rsid w:val="000072CF"/>
    <w:rsid w:val="00007607"/>
    <w:rsid w:val="00010736"/>
    <w:rsid w:val="00010930"/>
    <w:rsid w:val="00011915"/>
    <w:rsid w:val="000156C6"/>
    <w:rsid w:val="00015FF2"/>
    <w:rsid w:val="0001785A"/>
    <w:rsid w:val="00021880"/>
    <w:rsid w:val="00022DE9"/>
    <w:rsid w:val="000238D4"/>
    <w:rsid w:val="00027EE6"/>
    <w:rsid w:val="0003064C"/>
    <w:rsid w:val="00030A2D"/>
    <w:rsid w:val="00030A48"/>
    <w:rsid w:val="00031622"/>
    <w:rsid w:val="00031E16"/>
    <w:rsid w:val="00031EB7"/>
    <w:rsid w:val="0003356C"/>
    <w:rsid w:val="0003461C"/>
    <w:rsid w:val="000411EE"/>
    <w:rsid w:val="00041F71"/>
    <w:rsid w:val="00042FA2"/>
    <w:rsid w:val="00044654"/>
    <w:rsid w:val="00044655"/>
    <w:rsid w:val="00045877"/>
    <w:rsid w:val="00050554"/>
    <w:rsid w:val="00051C87"/>
    <w:rsid w:val="00053313"/>
    <w:rsid w:val="0005468D"/>
    <w:rsid w:val="00055972"/>
    <w:rsid w:val="00055BF4"/>
    <w:rsid w:val="000615B0"/>
    <w:rsid w:val="000627ED"/>
    <w:rsid w:val="00062A21"/>
    <w:rsid w:val="00062E78"/>
    <w:rsid w:val="0006455C"/>
    <w:rsid w:val="00064991"/>
    <w:rsid w:val="00066BF8"/>
    <w:rsid w:val="00066E31"/>
    <w:rsid w:val="00070FCB"/>
    <w:rsid w:val="000717D8"/>
    <w:rsid w:val="000734EF"/>
    <w:rsid w:val="000748FE"/>
    <w:rsid w:val="0007722B"/>
    <w:rsid w:val="000776E9"/>
    <w:rsid w:val="00080385"/>
    <w:rsid w:val="000818F5"/>
    <w:rsid w:val="0008221B"/>
    <w:rsid w:val="00082EE4"/>
    <w:rsid w:val="0008309A"/>
    <w:rsid w:val="00084487"/>
    <w:rsid w:val="00090431"/>
    <w:rsid w:val="00091A5C"/>
    <w:rsid w:val="00092A3C"/>
    <w:rsid w:val="00092A70"/>
    <w:rsid w:val="000939D5"/>
    <w:rsid w:val="000945CA"/>
    <w:rsid w:val="00095DF3"/>
    <w:rsid w:val="0009792A"/>
    <w:rsid w:val="000A04ED"/>
    <w:rsid w:val="000A0830"/>
    <w:rsid w:val="000A256C"/>
    <w:rsid w:val="000A3D00"/>
    <w:rsid w:val="000A5A14"/>
    <w:rsid w:val="000A60FE"/>
    <w:rsid w:val="000B063B"/>
    <w:rsid w:val="000B284B"/>
    <w:rsid w:val="000B3A46"/>
    <w:rsid w:val="000B3D30"/>
    <w:rsid w:val="000B4494"/>
    <w:rsid w:val="000B48E2"/>
    <w:rsid w:val="000B4B2D"/>
    <w:rsid w:val="000B660E"/>
    <w:rsid w:val="000B6775"/>
    <w:rsid w:val="000B72D2"/>
    <w:rsid w:val="000C0EDE"/>
    <w:rsid w:val="000C49F5"/>
    <w:rsid w:val="000C4DDD"/>
    <w:rsid w:val="000C6893"/>
    <w:rsid w:val="000C725B"/>
    <w:rsid w:val="000D5F17"/>
    <w:rsid w:val="000D65BC"/>
    <w:rsid w:val="000D68CA"/>
    <w:rsid w:val="000D7FBC"/>
    <w:rsid w:val="000E2455"/>
    <w:rsid w:val="000E29A8"/>
    <w:rsid w:val="000E3CEC"/>
    <w:rsid w:val="000E506E"/>
    <w:rsid w:val="000E56C3"/>
    <w:rsid w:val="000E58D4"/>
    <w:rsid w:val="000F0477"/>
    <w:rsid w:val="000F1795"/>
    <w:rsid w:val="000F1FA8"/>
    <w:rsid w:val="000F4EE2"/>
    <w:rsid w:val="000F517F"/>
    <w:rsid w:val="001038C5"/>
    <w:rsid w:val="00104FDC"/>
    <w:rsid w:val="00106518"/>
    <w:rsid w:val="00107ECE"/>
    <w:rsid w:val="00111568"/>
    <w:rsid w:val="001116C2"/>
    <w:rsid w:val="00113A56"/>
    <w:rsid w:val="001141FC"/>
    <w:rsid w:val="00115EED"/>
    <w:rsid w:val="00116DF3"/>
    <w:rsid w:val="00123A7A"/>
    <w:rsid w:val="00123AE9"/>
    <w:rsid w:val="00124DBB"/>
    <w:rsid w:val="001258C3"/>
    <w:rsid w:val="00126A3D"/>
    <w:rsid w:val="00130AC0"/>
    <w:rsid w:val="00131DCD"/>
    <w:rsid w:val="00132A28"/>
    <w:rsid w:val="00132EE7"/>
    <w:rsid w:val="0013479E"/>
    <w:rsid w:val="00135649"/>
    <w:rsid w:val="00135E24"/>
    <w:rsid w:val="001363E9"/>
    <w:rsid w:val="00136D24"/>
    <w:rsid w:val="00137EB2"/>
    <w:rsid w:val="00140058"/>
    <w:rsid w:val="001411C6"/>
    <w:rsid w:val="0014203D"/>
    <w:rsid w:val="001434C9"/>
    <w:rsid w:val="00143F97"/>
    <w:rsid w:val="001441EC"/>
    <w:rsid w:val="00144D89"/>
    <w:rsid w:val="00145F79"/>
    <w:rsid w:val="00146350"/>
    <w:rsid w:val="00146DAE"/>
    <w:rsid w:val="00147411"/>
    <w:rsid w:val="001522D5"/>
    <w:rsid w:val="00152D6E"/>
    <w:rsid w:val="001535D9"/>
    <w:rsid w:val="00153C16"/>
    <w:rsid w:val="001555BB"/>
    <w:rsid w:val="00155DA1"/>
    <w:rsid w:val="001560CB"/>
    <w:rsid w:val="00156229"/>
    <w:rsid w:val="0016008A"/>
    <w:rsid w:val="00160605"/>
    <w:rsid w:val="0016464E"/>
    <w:rsid w:val="00164AF5"/>
    <w:rsid w:val="00164EA6"/>
    <w:rsid w:val="00164EB9"/>
    <w:rsid w:val="0016647D"/>
    <w:rsid w:val="00167101"/>
    <w:rsid w:val="00167302"/>
    <w:rsid w:val="00171649"/>
    <w:rsid w:val="00172772"/>
    <w:rsid w:val="00173781"/>
    <w:rsid w:val="0017528C"/>
    <w:rsid w:val="00181491"/>
    <w:rsid w:val="001822AF"/>
    <w:rsid w:val="001833CF"/>
    <w:rsid w:val="00183C2F"/>
    <w:rsid w:val="00184097"/>
    <w:rsid w:val="00184AA4"/>
    <w:rsid w:val="0018597D"/>
    <w:rsid w:val="00185E47"/>
    <w:rsid w:val="00190860"/>
    <w:rsid w:val="00191A3C"/>
    <w:rsid w:val="00192618"/>
    <w:rsid w:val="00194BA9"/>
    <w:rsid w:val="001957DF"/>
    <w:rsid w:val="00197E5E"/>
    <w:rsid w:val="001A069A"/>
    <w:rsid w:val="001A1150"/>
    <w:rsid w:val="001A1C9F"/>
    <w:rsid w:val="001A3468"/>
    <w:rsid w:val="001A615C"/>
    <w:rsid w:val="001B14E4"/>
    <w:rsid w:val="001B30A4"/>
    <w:rsid w:val="001B33D4"/>
    <w:rsid w:val="001B514C"/>
    <w:rsid w:val="001B5216"/>
    <w:rsid w:val="001B5750"/>
    <w:rsid w:val="001B5BE3"/>
    <w:rsid w:val="001B6087"/>
    <w:rsid w:val="001B782A"/>
    <w:rsid w:val="001B7B76"/>
    <w:rsid w:val="001C0394"/>
    <w:rsid w:val="001C0955"/>
    <w:rsid w:val="001C0CF1"/>
    <w:rsid w:val="001C4846"/>
    <w:rsid w:val="001C5460"/>
    <w:rsid w:val="001C60D2"/>
    <w:rsid w:val="001D0453"/>
    <w:rsid w:val="001D0B24"/>
    <w:rsid w:val="001D0F8F"/>
    <w:rsid w:val="001D1221"/>
    <w:rsid w:val="001D1CA5"/>
    <w:rsid w:val="001D36E5"/>
    <w:rsid w:val="001D443B"/>
    <w:rsid w:val="001D70AA"/>
    <w:rsid w:val="001E12E0"/>
    <w:rsid w:val="001E2275"/>
    <w:rsid w:val="001E24A6"/>
    <w:rsid w:val="001F04C2"/>
    <w:rsid w:val="001F0652"/>
    <w:rsid w:val="001F1500"/>
    <w:rsid w:val="001F1717"/>
    <w:rsid w:val="001F343D"/>
    <w:rsid w:val="001F4267"/>
    <w:rsid w:val="001F4B06"/>
    <w:rsid w:val="001F51F2"/>
    <w:rsid w:val="001F6B3B"/>
    <w:rsid w:val="001F7DD5"/>
    <w:rsid w:val="00200743"/>
    <w:rsid w:val="0020320D"/>
    <w:rsid w:val="00204E38"/>
    <w:rsid w:val="002053AE"/>
    <w:rsid w:val="002078C3"/>
    <w:rsid w:val="00207C3F"/>
    <w:rsid w:val="002110E8"/>
    <w:rsid w:val="00211C81"/>
    <w:rsid w:val="00212601"/>
    <w:rsid w:val="00214FCC"/>
    <w:rsid w:val="00216263"/>
    <w:rsid w:val="00216441"/>
    <w:rsid w:val="00221CCB"/>
    <w:rsid w:val="00224B4E"/>
    <w:rsid w:val="002250C4"/>
    <w:rsid w:val="002259E2"/>
    <w:rsid w:val="00226D1B"/>
    <w:rsid w:val="002317AF"/>
    <w:rsid w:val="002329FF"/>
    <w:rsid w:val="00233370"/>
    <w:rsid w:val="00234C8A"/>
    <w:rsid w:val="00235641"/>
    <w:rsid w:val="00235F3D"/>
    <w:rsid w:val="002367F0"/>
    <w:rsid w:val="00236B9C"/>
    <w:rsid w:val="00237B80"/>
    <w:rsid w:val="0024180B"/>
    <w:rsid w:val="00242548"/>
    <w:rsid w:val="0024292C"/>
    <w:rsid w:val="0024437D"/>
    <w:rsid w:val="00246251"/>
    <w:rsid w:val="00246539"/>
    <w:rsid w:val="0024658A"/>
    <w:rsid w:val="00246A04"/>
    <w:rsid w:val="00246BC6"/>
    <w:rsid w:val="00247233"/>
    <w:rsid w:val="00251869"/>
    <w:rsid w:val="00253941"/>
    <w:rsid w:val="00254DAF"/>
    <w:rsid w:val="00254F75"/>
    <w:rsid w:val="0025523F"/>
    <w:rsid w:val="00260BA9"/>
    <w:rsid w:val="00264CF7"/>
    <w:rsid w:val="002650C9"/>
    <w:rsid w:val="00266278"/>
    <w:rsid w:val="00266698"/>
    <w:rsid w:val="00267784"/>
    <w:rsid w:val="002678BD"/>
    <w:rsid w:val="0027041E"/>
    <w:rsid w:val="00271007"/>
    <w:rsid w:val="00271D84"/>
    <w:rsid w:val="00274AD6"/>
    <w:rsid w:val="00277329"/>
    <w:rsid w:val="00277F32"/>
    <w:rsid w:val="00277FF0"/>
    <w:rsid w:val="00280D20"/>
    <w:rsid w:val="00281441"/>
    <w:rsid w:val="00282FDF"/>
    <w:rsid w:val="00284591"/>
    <w:rsid w:val="00286FC2"/>
    <w:rsid w:val="00287241"/>
    <w:rsid w:val="002906AA"/>
    <w:rsid w:val="00291CDA"/>
    <w:rsid w:val="00292CA3"/>
    <w:rsid w:val="0029337C"/>
    <w:rsid w:val="0029421D"/>
    <w:rsid w:val="00294F2B"/>
    <w:rsid w:val="00296F57"/>
    <w:rsid w:val="002A0800"/>
    <w:rsid w:val="002A2657"/>
    <w:rsid w:val="002A551B"/>
    <w:rsid w:val="002A5C87"/>
    <w:rsid w:val="002A6344"/>
    <w:rsid w:val="002A7441"/>
    <w:rsid w:val="002B104C"/>
    <w:rsid w:val="002B1A4A"/>
    <w:rsid w:val="002B60B4"/>
    <w:rsid w:val="002B7097"/>
    <w:rsid w:val="002B7BD9"/>
    <w:rsid w:val="002B7D87"/>
    <w:rsid w:val="002C0F93"/>
    <w:rsid w:val="002C133E"/>
    <w:rsid w:val="002C26E6"/>
    <w:rsid w:val="002C26FB"/>
    <w:rsid w:val="002C29A3"/>
    <w:rsid w:val="002C3155"/>
    <w:rsid w:val="002C5AB4"/>
    <w:rsid w:val="002C7759"/>
    <w:rsid w:val="002D12C6"/>
    <w:rsid w:val="002D17F8"/>
    <w:rsid w:val="002D2569"/>
    <w:rsid w:val="002D2699"/>
    <w:rsid w:val="002D4549"/>
    <w:rsid w:val="002D49DD"/>
    <w:rsid w:val="002D4D04"/>
    <w:rsid w:val="002D7ADF"/>
    <w:rsid w:val="002E246E"/>
    <w:rsid w:val="002E7232"/>
    <w:rsid w:val="002F0631"/>
    <w:rsid w:val="002F3343"/>
    <w:rsid w:val="002F4BF8"/>
    <w:rsid w:val="003009AA"/>
    <w:rsid w:val="00302288"/>
    <w:rsid w:val="003027DB"/>
    <w:rsid w:val="00303A27"/>
    <w:rsid w:val="00303AD2"/>
    <w:rsid w:val="00303C35"/>
    <w:rsid w:val="00303D06"/>
    <w:rsid w:val="003049B2"/>
    <w:rsid w:val="003052BE"/>
    <w:rsid w:val="00305CB9"/>
    <w:rsid w:val="003061E3"/>
    <w:rsid w:val="003065F1"/>
    <w:rsid w:val="003069DF"/>
    <w:rsid w:val="0030798F"/>
    <w:rsid w:val="003126FE"/>
    <w:rsid w:val="003145FC"/>
    <w:rsid w:val="00314B45"/>
    <w:rsid w:val="00314CAF"/>
    <w:rsid w:val="003156E0"/>
    <w:rsid w:val="00315ADA"/>
    <w:rsid w:val="00315F9D"/>
    <w:rsid w:val="00316445"/>
    <w:rsid w:val="0031752C"/>
    <w:rsid w:val="00320666"/>
    <w:rsid w:val="00321193"/>
    <w:rsid w:val="00321457"/>
    <w:rsid w:val="0032302E"/>
    <w:rsid w:val="00323613"/>
    <w:rsid w:val="0032365E"/>
    <w:rsid w:val="003248C7"/>
    <w:rsid w:val="003249D4"/>
    <w:rsid w:val="003257DC"/>
    <w:rsid w:val="00327BE1"/>
    <w:rsid w:val="003315F6"/>
    <w:rsid w:val="003323A5"/>
    <w:rsid w:val="00334375"/>
    <w:rsid w:val="00335154"/>
    <w:rsid w:val="0033621C"/>
    <w:rsid w:val="00336DA0"/>
    <w:rsid w:val="00337A1D"/>
    <w:rsid w:val="00340E23"/>
    <w:rsid w:val="00341556"/>
    <w:rsid w:val="00343C7E"/>
    <w:rsid w:val="00343FEB"/>
    <w:rsid w:val="003440E1"/>
    <w:rsid w:val="0034529B"/>
    <w:rsid w:val="0034663D"/>
    <w:rsid w:val="00347C7E"/>
    <w:rsid w:val="003508AE"/>
    <w:rsid w:val="0035132D"/>
    <w:rsid w:val="0035154E"/>
    <w:rsid w:val="00353FB3"/>
    <w:rsid w:val="003634A7"/>
    <w:rsid w:val="003650E3"/>
    <w:rsid w:val="00365200"/>
    <w:rsid w:val="00370684"/>
    <w:rsid w:val="0037132E"/>
    <w:rsid w:val="003714D3"/>
    <w:rsid w:val="00371CA8"/>
    <w:rsid w:val="003731DF"/>
    <w:rsid w:val="003747AD"/>
    <w:rsid w:val="003758BF"/>
    <w:rsid w:val="00375CA3"/>
    <w:rsid w:val="00376315"/>
    <w:rsid w:val="003765D4"/>
    <w:rsid w:val="00377462"/>
    <w:rsid w:val="00381E69"/>
    <w:rsid w:val="003825CA"/>
    <w:rsid w:val="003830B6"/>
    <w:rsid w:val="0038628D"/>
    <w:rsid w:val="003867C0"/>
    <w:rsid w:val="00386971"/>
    <w:rsid w:val="003871E1"/>
    <w:rsid w:val="00392E99"/>
    <w:rsid w:val="00394C21"/>
    <w:rsid w:val="00396023"/>
    <w:rsid w:val="00396601"/>
    <w:rsid w:val="00396EB2"/>
    <w:rsid w:val="00396F09"/>
    <w:rsid w:val="00397F84"/>
    <w:rsid w:val="003A0E46"/>
    <w:rsid w:val="003A15D0"/>
    <w:rsid w:val="003A16E2"/>
    <w:rsid w:val="003A1AB6"/>
    <w:rsid w:val="003A20F4"/>
    <w:rsid w:val="003A3199"/>
    <w:rsid w:val="003A4DF3"/>
    <w:rsid w:val="003A6046"/>
    <w:rsid w:val="003B1B6B"/>
    <w:rsid w:val="003B2278"/>
    <w:rsid w:val="003B2A5A"/>
    <w:rsid w:val="003B3FAE"/>
    <w:rsid w:val="003B6580"/>
    <w:rsid w:val="003B6D85"/>
    <w:rsid w:val="003B6FFA"/>
    <w:rsid w:val="003C0FEB"/>
    <w:rsid w:val="003C15F5"/>
    <w:rsid w:val="003C1A80"/>
    <w:rsid w:val="003C4190"/>
    <w:rsid w:val="003C4481"/>
    <w:rsid w:val="003C7251"/>
    <w:rsid w:val="003D0562"/>
    <w:rsid w:val="003D0A31"/>
    <w:rsid w:val="003D20F7"/>
    <w:rsid w:val="003D2B45"/>
    <w:rsid w:val="003D4608"/>
    <w:rsid w:val="003E49D4"/>
    <w:rsid w:val="003E6852"/>
    <w:rsid w:val="003F05FA"/>
    <w:rsid w:val="003F0B87"/>
    <w:rsid w:val="003F2425"/>
    <w:rsid w:val="003F25C1"/>
    <w:rsid w:val="003F3A82"/>
    <w:rsid w:val="003F6C9C"/>
    <w:rsid w:val="003F6F61"/>
    <w:rsid w:val="003F7130"/>
    <w:rsid w:val="003F77BC"/>
    <w:rsid w:val="0040294B"/>
    <w:rsid w:val="0040437E"/>
    <w:rsid w:val="004071AD"/>
    <w:rsid w:val="004071C0"/>
    <w:rsid w:val="004079BA"/>
    <w:rsid w:val="0041241B"/>
    <w:rsid w:val="004154AB"/>
    <w:rsid w:val="00417988"/>
    <w:rsid w:val="00420C4E"/>
    <w:rsid w:val="00421946"/>
    <w:rsid w:val="00424483"/>
    <w:rsid w:val="00425242"/>
    <w:rsid w:val="00426002"/>
    <w:rsid w:val="004260A6"/>
    <w:rsid w:val="00426296"/>
    <w:rsid w:val="00431004"/>
    <w:rsid w:val="0043121A"/>
    <w:rsid w:val="004315C4"/>
    <w:rsid w:val="00433834"/>
    <w:rsid w:val="00434602"/>
    <w:rsid w:val="0043514A"/>
    <w:rsid w:val="004369F6"/>
    <w:rsid w:val="00436BD1"/>
    <w:rsid w:val="00440CE7"/>
    <w:rsid w:val="004426F5"/>
    <w:rsid w:val="00442B38"/>
    <w:rsid w:val="0044323E"/>
    <w:rsid w:val="004435E1"/>
    <w:rsid w:val="00445633"/>
    <w:rsid w:val="00445B83"/>
    <w:rsid w:val="004501B9"/>
    <w:rsid w:val="00451245"/>
    <w:rsid w:val="004518D5"/>
    <w:rsid w:val="0045198F"/>
    <w:rsid w:val="00452F86"/>
    <w:rsid w:val="0045303A"/>
    <w:rsid w:val="0045321A"/>
    <w:rsid w:val="00453D4C"/>
    <w:rsid w:val="00454397"/>
    <w:rsid w:val="00457107"/>
    <w:rsid w:val="004571E2"/>
    <w:rsid w:val="00457D93"/>
    <w:rsid w:val="004613BE"/>
    <w:rsid w:val="004618BE"/>
    <w:rsid w:val="00462E11"/>
    <w:rsid w:val="00463D63"/>
    <w:rsid w:val="00464440"/>
    <w:rsid w:val="004713E4"/>
    <w:rsid w:val="00472917"/>
    <w:rsid w:val="004734C3"/>
    <w:rsid w:val="00475EAD"/>
    <w:rsid w:val="004764EB"/>
    <w:rsid w:val="0047726B"/>
    <w:rsid w:val="00477767"/>
    <w:rsid w:val="0048111A"/>
    <w:rsid w:val="00481250"/>
    <w:rsid w:val="004848D5"/>
    <w:rsid w:val="00484E6C"/>
    <w:rsid w:val="0049415E"/>
    <w:rsid w:val="00494609"/>
    <w:rsid w:val="00495469"/>
    <w:rsid w:val="00495E1D"/>
    <w:rsid w:val="004A0D99"/>
    <w:rsid w:val="004A0E14"/>
    <w:rsid w:val="004A1088"/>
    <w:rsid w:val="004A2072"/>
    <w:rsid w:val="004A268D"/>
    <w:rsid w:val="004A418F"/>
    <w:rsid w:val="004A48C0"/>
    <w:rsid w:val="004A6C55"/>
    <w:rsid w:val="004A77FC"/>
    <w:rsid w:val="004A7B64"/>
    <w:rsid w:val="004A7D2E"/>
    <w:rsid w:val="004B28EA"/>
    <w:rsid w:val="004B29B4"/>
    <w:rsid w:val="004B4027"/>
    <w:rsid w:val="004B54B3"/>
    <w:rsid w:val="004B6EA2"/>
    <w:rsid w:val="004C3B8B"/>
    <w:rsid w:val="004C427B"/>
    <w:rsid w:val="004C4C2F"/>
    <w:rsid w:val="004C682D"/>
    <w:rsid w:val="004C72F7"/>
    <w:rsid w:val="004D0895"/>
    <w:rsid w:val="004D1282"/>
    <w:rsid w:val="004D16E4"/>
    <w:rsid w:val="004D276E"/>
    <w:rsid w:val="004D4053"/>
    <w:rsid w:val="004D4E35"/>
    <w:rsid w:val="004D6098"/>
    <w:rsid w:val="004D79FA"/>
    <w:rsid w:val="004E026D"/>
    <w:rsid w:val="004E3827"/>
    <w:rsid w:val="004E4227"/>
    <w:rsid w:val="004E4260"/>
    <w:rsid w:val="004E51CC"/>
    <w:rsid w:val="004E5C97"/>
    <w:rsid w:val="004E5D01"/>
    <w:rsid w:val="004F00E0"/>
    <w:rsid w:val="004F2706"/>
    <w:rsid w:val="004F28ED"/>
    <w:rsid w:val="004F2A0D"/>
    <w:rsid w:val="004F358E"/>
    <w:rsid w:val="004F4E41"/>
    <w:rsid w:val="004F612A"/>
    <w:rsid w:val="004F75E1"/>
    <w:rsid w:val="004F7D70"/>
    <w:rsid w:val="00506A26"/>
    <w:rsid w:val="005106F3"/>
    <w:rsid w:val="005125CB"/>
    <w:rsid w:val="00516224"/>
    <w:rsid w:val="00516495"/>
    <w:rsid w:val="00521699"/>
    <w:rsid w:val="00521FA0"/>
    <w:rsid w:val="005223C2"/>
    <w:rsid w:val="00525831"/>
    <w:rsid w:val="0052716D"/>
    <w:rsid w:val="005279BA"/>
    <w:rsid w:val="00531F98"/>
    <w:rsid w:val="005329BC"/>
    <w:rsid w:val="00532EE9"/>
    <w:rsid w:val="005333B6"/>
    <w:rsid w:val="0053429F"/>
    <w:rsid w:val="005343A8"/>
    <w:rsid w:val="00534621"/>
    <w:rsid w:val="005349F2"/>
    <w:rsid w:val="0053649B"/>
    <w:rsid w:val="00536948"/>
    <w:rsid w:val="00540303"/>
    <w:rsid w:val="005411CB"/>
    <w:rsid w:val="00541C34"/>
    <w:rsid w:val="00541E06"/>
    <w:rsid w:val="005447D0"/>
    <w:rsid w:val="00544FFD"/>
    <w:rsid w:val="005464FC"/>
    <w:rsid w:val="00551440"/>
    <w:rsid w:val="005521F5"/>
    <w:rsid w:val="005523F8"/>
    <w:rsid w:val="00554D50"/>
    <w:rsid w:val="00555691"/>
    <w:rsid w:val="005636FB"/>
    <w:rsid w:val="00563F84"/>
    <w:rsid w:val="00564F43"/>
    <w:rsid w:val="005704DE"/>
    <w:rsid w:val="005722AF"/>
    <w:rsid w:val="00572493"/>
    <w:rsid w:val="005731FC"/>
    <w:rsid w:val="00573E4E"/>
    <w:rsid w:val="00573FB1"/>
    <w:rsid w:val="005759F9"/>
    <w:rsid w:val="00575FC5"/>
    <w:rsid w:val="00576696"/>
    <w:rsid w:val="00576B39"/>
    <w:rsid w:val="00576F69"/>
    <w:rsid w:val="00576F79"/>
    <w:rsid w:val="0058020F"/>
    <w:rsid w:val="00580E66"/>
    <w:rsid w:val="005827B8"/>
    <w:rsid w:val="005859CD"/>
    <w:rsid w:val="00586716"/>
    <w:rsid w:val="005867D5"/>
    <w:rsid w:val="00586902"/>
    <w:rsid w:val="0058709A"/>
    <w:rsid w:val="00590EC3"/>
    <w:rsid w:val="005917DA"/>
    <w:rsid w:val="00591989"/>
    <w:rsid w:val="005931DB"/>
    <w:rsid w:val="00595321"/>
    <w:rsid w:val="0059659D"/>
    <w:rsid w:val="00597EF5"/>
    <w:rsid w:val="005A2DB4"/>
    <w:rsid w:val="005A4A5F"/>
    <w:rsid w:val="005A4AE0"/>
    <w:rsid w:val="005A6451"/>
    <w:rsid w:val="005A7714"/>
    <w:rsid w:val="005B0273"/>
    <w:rsid w:val="005B2B2F"/>
    <w:rsid w:val="005B30DA"/>
    <w:rsid w:val="005C2ED7"/>
    <w:rsid w:val="005C44F6"/>
    <w:rsid w:val="005C4967"/>
    <w:rsid w:val="005C4B9E"/>
    <w:rsid w:val="005C673C"/>
    <w:rsid w:val="005C7D9F"/>
    <w:rsid w:val="005D5100"/>
    <w:rsid w:val="005D5966"/>
    <w:rsid w:val="005D70B3"/>
    <w:rsid w:val="005D77E2"/>
    <w:rsid w:val="005D7B63"/>
    <w:rsid w:val="005E14AD"/>
    <w:rsid w:val="005E35E6"/>
    <w:rsid w:val="005E3E9D"/>
    <w:rsid w:val="005E6EF0"/>
    <w:rsid w:val="005E763F"/>
    <w:rsid w:val="005F16F2"/>
    <w:rsid w:val="005F330C"/>
    <w:rsid w:val="005F3F2E"/>
    <w:rsid w:val="005F41A2"/>
    <w:rsid w:val="005F5487"/>
    <w:rsid w:val="005F6D18"/>
    <w:rsid w:val="006011B6"/>
    <w:rsid w:val="00601694"/>
    <w:rsid w:val="006027A6"/>
    <w:rsid w:val="00602A96"/>
    <w:rsid w:val="00603A45"/>
    <w:rsid w:val="00605EAA"/>
    <w:rsid w:val="00606833"/>
    <w:rsid w:val="006074A5"/>
    <w:rsid w:val="0061021A"/>
    <w:rsid w:val="00615FEA"/>
    <w:rsid w:val="00617921"/>
    <w:rsid w:val="006201A5"/>
    <w:rsid w:val="00620930"/>
    <w:rsid w:val="00626038"/>
    <w:rsid w:val="00626B6E"/>
    <w:rsid w:val="00627F5A"/>
    <w:rsid w:val="00631E77"/>
    <w:rsid w:val="00632BC2"/>
    <w:rsid w:val="00633615"/>
    <w:rsid w:val="00634123"/>
    <w:rsid w:val="00634C6E"/>
    <w:rsid w:val="00635B19"/>
    <w:rsid w:val="00635DC2"/>
    <w:rsid w:val="00637D4F"/>
    <w:rsid w:val="00637E69"/>
    <w:rsid w:val="00640C52"/>
    <w:rsid w:val="00640FC6"/>
    <w:rsid w:val="0064123B"/>
    <w:rsid w:val="006413C4"/>
    <w:rsid w:val="00641E2D"/>
    <w:rsid w:val="0064206F"/>
    <w:rsid w:val="006428D0"/>
    <w:rsid w:val="006451FB"/>
    <w:rsid w:val="0064552C"/>
    <w:rsid w:val="0064590D"/>
    <w:rsid w:val="00650D00"/>
    <w:rsid w:val="00652E97"/>
    <w:rsid w:val="006542C6"/>
    <w:rsid w:val="00654D3D"/>
    <w:rsid w:val="006615C8"/>
    <w:rsid w:val="00661658"/>
    <w:rsid w:val="006626EC"/>
    <w:rsid w:val="00663C54"/>
    <w:rsid w:val="006647A8"/>
    <w:rsid w:val="00665FAC"/>
    <w:rsid w:val="00666B7D"/>
    <w:rsid w:val="00667218"/>
    <w:rsid w:val="006703D0"/>
    <w:rsid w:val="00673B74"/>
    <w:rsid w:val="00674132"/>
    <w:rsid w:val="006814C9"/>
    <w:rsid w:val="00681937"/>
    <w:rsid w:val="00683194"/>
    <w:rsid w:val="006844FD"/>
    <w:rsid w:val="00684F6C"/>
    <w:rsid w:val="00685EE8"/>
    <w:rsid w:val="0068701D"/>
    <w:rsid w:val="00691C19"/>
    <w:rsid w:val="00692D50"/>
    <w:rsid w:val="00693C14"/>
    <w:rsid w:val="00694192"/>
    <w:rsid w:val="00694AEF"/>
    <w:rsid w:val="00695C5D"/>
    <w:rsid w:val="006A05E3"/>
    <w:rsid w:val="006A076B"/>
    <w:rsid w:val="006A2636"/>
    <w:rsid w:val="006A2662"/>
    <w:rsid w:val="006A3C2A"/>
    <w:rsid w:val="006A5C5F"/>
    <w:rsid w:val="006A5E6B"/>
    <w:rsid w:val="006A6B37"/>
    <w:rsid w:val="006A7582"/>
    <w:rsid w:val="006B3189"/>
    <w:rsid w:val="006B368B"/>
    <w:rsid w:val="006B3803"/>
    <w:rsid w:val="006B4F27"/>
    <w:rsid w:val="006B515F"/>
    <w:rsid w:val="006B59BC"/>
    <w:rsid w:val="006C3698"/>
    <w:rsid w:val="006C4F42"/>
    <w:rsid w:val="006C6243"/>
    <w:rsid w:val="006C65DF"/>
    <w:rsid w:val="006D2C73"/>
    <w:rsid w:val="006D2CBF"/>
    <w:rsid w:val="006D58B9"/>
    <w:rsid w:val="006D6627"/>
    <w:rsid w:val="006E0F36"/>
    <w:rsid w:val="006E0F66"/>
    <w:rsid w:val="006E3197"/>
    <w:rsid w:val="006E4660"/>
    <w:rsid w:val="006E7AE0"/>
    <w:rsid w:val="006E7E63"/>
    <w:rsid w:val="006F10ED"/>
    <w:rsid w:val="006F1631"/>
    <w:rsid w:val="006F1D2F"/>
    <w:rsid w:val="006F2142"/>
    <w:rsid w:val="006F2144"/>
    <w:rsid w:val="006F39A0"/>
    <w:rsid w:val="006F43C4"/>
    <w:rsid w:val="006F47AD"/>
    <w:rsid w:val="006F50CB"/>
    <w:rsid w:val="006F625E"/>
    <w:rsid w:val="006F71FA"/>
    <w:rsid w:val="006F7490"/>
    <w:rsid w:val="007008FA"/>
    <w:rsid w:val="00700D7C"/>
    <w:rsid w:val="00703170"/>
    <w:rsid w:val="00710CF7"/>
    <w:rsid w:val="007143D5"/>
    <w:rsid w:val="00715EDA"/>
    <w:rsid w:val="007164DF"/>
    <w:rsid w:val="00716EB4"/>
    <w:rsid w:val="0071753B"/>
    <w:rsid w:val="00717F4A"/>
    <w:rsid w:val="00720AA4"/>
    <w:rsid w:val="007229A8"/>
    <w:rsid w:val="00722FB5"/>
    <w:rsid w:val="0072383C"/>
    <w:rsid w:val="007252DD"/>
    <w:rsid w:val="00726E1C"/>
    <w:rsid w:val="00726F4D"/>
    <w:rsid w:val="00734532"/>
    <w:rsid w:val="0073593C"/>
    <w:rsid w:val="00735A13"/>
    <w:rsid w:val="00736477"/>
    <w:rsid w:val="00737765"/>
    <w:rsid w:val="0074429C"/>
    <w:rsid w:val="007444F1"/>
    <w:rsid w:val="007473E3"/>
    <w:rsid w:val="007478B1"/>
    <w:rsid w:val="00750BE8"/>
    <w:rsid w:val="00750FFC"/>
    <w:rsid w:val="00751946"/>
    <w:rsid w:val="00753AF6"/>
    <w:rsid w:val="00753CC9"/>
    <w:rsid w:val="00757E5B"/>
    <w:rsid w:val="00760587"/>
    <w:rsid w:val="007622B3"/>
    <w:rsid w:val="00762674"/>
    <w:rsid w:val="00766B89"/>
    <w:rsid w:val="00770C66"/>
    <w:rsid w:val="00770DC8"/>
    <w:rsid w:val="00772E19"/>
    <w:rsid w:val="00773141"/>
    <w:rsid w:val="0077331E"/>
    <w:rsid w:val="00774B54"/>
    <w:rsid w:val="00775445"/>
    <w:rsid w:val="0077768E"/>
    <w:rsid w:val="00782B2D"/>
    <w:rsid w:val="00785023"/>
    <w:rsid w:val="00786926"/>
    <w:rsid w:val="007877D6"/>
    <w:rsid w:val="007878A9"/>
    <w:rsid w:val="007925B6"/>
    <w:rsid w:val="00792D83"/>
    <w:rsid w:val="0079373F"/>
    <w:rsid w:val="007938D0"/>
    <w:rsid w:val="007A0CCB"/>
    <w:rsid w:val="007A1ADA"/>
    <w:rsid w:val="007A2368"/>
    <w:rsid w:val="007A2D91"/>
    <w:rsid w:val="007A53E5"/>
    <w:rsid w:val="007A63AC"/>
    <w:rsid w:val="007A70D8"/>
    <w:rsid w:val="007B0292"/>
    <w:rsid w:val="007B1D5A"/>
    <w:rsid w:val="007B20FF"/>
    <w:rsid w:val="007B2E0B"/>
    <w:rsid w:val="007B3884"/>
    <w:rsid w:val="007B5E0E"/>
    <w:rsid w:val="007B62FA"/>
    <w:rsid w:val="007C0B75"/>
    <w:rsid w:val="007C0C9A"/>
    <w:rsid w:val="007C3273"/>
    <w:rsid w:val="007C5423"/>
    <w:rsid w:val="007C5A4D"/>
    <w:rsid w:val="007C6793"/>
    <w:rsid w:val="007C690A"/>
    <w:rsid w:val="007C6F42"/>
    <w:rsid w:val="007D001B"/>
    <w:rsid w:val="007D05FC"/>
    <w:rsid w:val="007D6D7F"/>
    <w:rsid w:val="007D78AF"/>
    <w:rsid w:val="007D792E"/>
    <w:rsid w:val="007E007A"/>
    <w:rsid w:val="007E25BE"/>
    <w:rsid w:val="007E2F6E"/>
    <w:rsid w:val="007E57EC"/>
    <w:rsid w:val="007E63A6"/>
    <w:rsid w:val="007E68FF"/>
    <w:rsid w:val="007E7862"/>
    <w:rsid w:val="007E79C2"/>
    <w:rsid w:val="007E7ED0"/>
    <w:rsid w:val="007F02B4"/>
    <w:rsid w:val="007F037D"/>
    <w:rsid w:val="007F1A4F"/>
    <w:rsid w:val="007F27D0"/>
    <w:rsid w:val="007F2CC3"/>
    <w:rsid w:val="007F4384"/>
    <w:rsid w:val="007F5612"/>
    <w:rsid w:val="007F6200"/>
    <w:rsid w:val="007F6537"/>
    <w:rsid w:val="00802085"/>
    <w:rsid w:val="008030F2"/>
    <w:rsid w:val="00803422"/>
    <w:rsid w:val="008052D4"/>
    <w:rsid w:val="00805F3C"/>
    <w:rsid w:val="00806B57"/>
    <w:rsid w:val="0080775F"/>
    <w:rsid w:val="00811314"/>
    <w:rsid w:val="00812B73"/>
    <w:rsid w:val="0081486B"/>
    <w:rsid w:val="00815892"/>
    <w:rsid w:val="00821282"/>
    <w:rsid w:val="00821E53"/>
    <w:rsid w:val="008224ED"/>
    <w:rsid w:val="008232AB"/>
    <w:rsid w:val="00824019"/>
    <w:rsid w:val="00824489"/>
    <w:rsid w:val="0082465C"/>
    <w:rsid w:val="00826EA0"/>
    <w:rsid w:val="0082707E"/>
    <w:rsid w:val="008320BF"/>
    <w:rsid w:val="008356A7"/>
    <w:rsid w:val="008375BA"/>
    <w:rsid w:val="008424BF"/>
    <w:rsid w:val="008443F5"/>
    <w:rsid w:val="00845072"/>
    <w:rsid w:val="00846274"/>
    <w:rsid w:val="00847E37"/>
    <w:rsid w:val="00852060"/>
    <w:rsid w:val="008527B9"/>
    <w:rsid w:val="008548C6"/>
    <w:rsid w:val="008553CA"/>
    <w:rsid w:val="0085647E"/>
    <w:rsid w:val="00856A2C"/>
    <w:rsid w:val="008602B6"/>
    <w:rsid w:val="008605D1"/>
    <w:rsid w:val="0086371F"/>
    <w:rsid w:val="00864EC2"/>
    <w:rsid w:val="0087014A"/>
    <w:rsid w:val="00870978"/>
    <w:rsid w:val="00870CCA"/>
    <w:rsid w:val="00870E11"/>
    <w:rsid w:val="0087109E"/>
    <w:rsid w:val="008721DE"/>
    <w:rsid w:val="008735B8"/>
    <w:rsid w:val="00875895"/>
    <w:rsid w:val="008761D1"/>
    <w:rsid w:val="00876EAF"/>
    <w:rsid w:val="0087703C"/>
    <w:rsid w:val="00880E8B"/>
    <w:rsid w:val="0088148A"/>
    <w:rsid w:val="00883016"/>
    <w:rsid w:val="00886C14"/>
    <w:rsid w:val="008877F5"/>
    <w:rsid w:val="00887CC3"/>
    <w:rsid w:val="00892226"/>
    <w:rsid w:val="00893951"/>
    <w:rsid w:val="008949B6"/>
    <w:rsid w:val="00894D47"/>
    <w:rsid w:val="008A1BCC"/>
    <w:rsid w:val="008A2948"/>
    <w:rsid w:val="008A2DC1"/>
    <w:rsid w:val="008A66BF"/>
    <w:rsid w:val="008B2E3A"/>
    <w:rsid w:val="008B34BF"/>
    <w:rsid w:val="008B5186"/>
    <w:rsid w:val="008B681D"/>
    <w:rsid w:val="008B6F97"/>
    <w:rsid w:val="008B7B1A"/>
    <w:rsid w:val="008C02D7"/>
    <w:rsid w:val="008C0E2C"/>
    <w:rsid w:val="008C12C9"/>
    <w:rsid w:val="008C2B83"/>
    <w:rsid w:val="008C2EDC"/>
    <w:rsid w:val="008C6272"/>
    <w:rsid w:val="008D0D26"/>
    <w:rsid w:val="008D1171"/>
    <w:rsid w:val="008D1DE5"/>
    <w:rsid w:val="008D348B"/>
    <w:rsid w:val="008D486A"/>
    <w:rsid w:val="008D531A"/>
    <w:rsid w:val="008D552A"/>
    <w:rsid w:val="008D78A0"/>
    <w:rsid w:val="008D7972"/>
    <w:rsid w:val="008E0B20"/>
    <w:rsid w:val="008E2627"/>
    <w:rsid w:val="008E37FA"/>
    <w:rsid w:val="008E38A9"/>
    <w:rsid w:val="008E6216"/>
    <w:rsid w:val="008E627A"/>
    <w:rsid w:val="008E6363"/>
    <w:rsid w:val="008E66AE"/>
    <w:rsid w:val="008E7428"/>
    <w:rsid w:val="008F1069"/>
    <w:rsid w:val="008F2ED5"/>
    <w:rsid w:val="008F32EB"/>
    <w:rsid w:val="008F5F1F"/>
    <w:rsid w:val="008F621E"/>
    <w:rsid w:val="008F6493"/>
    <w:rsid w:val="008F6A20"/>
    <w:rsid w:val="008F6B1A"/>
    <w:rsid w:val="008F7FCB"/>
    <w:rsid w:val="00900031"/>
    <w:rsid w:val="00901C7D"/>
    <w:rsid w:val="0090289F"/>
    <w:rsid w:val="00904D59"/>
    <w:rsid w:val="00905928"/>
    <w:rsid w:val="00905FEF"/>
    <w:rsid w:val="00906FB9"/>
    <w:rsid w:val="00912009"/>
    <w:rsid w:val="00912142"/>
    <w:rsid w:val="00914264"/>
    <w:rsid w:val="00914854"/>
    <w:rsid w:val="00915FE1"/>
    <w:rsid w:val="00917704"/>
    <w:rsid w:val="00920D29"/>
    <w:rsid w:val="00920F8A"/>
    <w:rsid w:val="0092313E"/>
    <w:rsid w:val="0092317D"/>
    <w:rsid w:val="00924D3D"/>
    <w:rsid w:val="009266C2"/>
    <w:rsid w:val="00927ECF"/>
    <w:rsid w:val="009326DA"/>
    <w:rsid w:val="00932FCB"/>
    <w:rsid w:val="009332D8"/>
    <w:rsid w:val="00937145"/>
    <w:rsid w:val="00940186"/>
    <w:rsid w:val="0094068D"/>
    <w:rsid w:val="00944219"/>
    <w:rsid w:val="00945DC0"/>
    <w:rsid w:val="00950899"/>
    <w:rsid w:val="00950B90"/>
    <w:rsid w:val="00953E55"/>
    <w:rsid w:val="009551D3"/>
    <w:rsid w:val="00955437"/>
    <w:rsid w:val="00955924"/>
    <w:rsid w:val="0095682D"/>
    <w:rsid w:val="00960C98"/>
    <w:rsid w:val="00960ECB"/>
    <w:rsid w:val="00961ADC"/>
    <w:rsid w:val="00962E7C"/>
    <w:rsid w:val="00962FFA"/>
    <w:rsid w:val="0096368F"/>
    <w:rsid w:val="0096404A"/>
    <w:rsid w:val="009644B6"/>
    <w:rsid w:val="0096601E"/>
    <w:rsid w:val="00966F29"/>
    <w:rsid w:val="0096742D"/>
    <w:rsid w:val="00971F05"/>
    <w:rsid w:val="009724A8"/>
    <w:rsid w:val="00972FEE"/>
    <w:rsid w:val="0097412F"/>
    <w:rsid w:val="00976630"/>
    <w:rsid w:val="00976C16"/>
    <w:rsid w:val="009775E4"/>
    <w:rsid w:val="00980DFB"/>
    <w:rsid w:val="00983566"/>
    <w:rsid w:val="00984739"/>
    <w:rsid w:val="00984D37"/>
    <w:rsid w:val="00985B88"/>
    <w:rsid w:val="0098604D"/>
    <w:rsid w:val="009900ED"/>
    <w:rsid w:val="009914EE"/>
    <w:rsid w:val="00991FF7"/>
    <w:rsid w:val="009928B1"/>
    <w:rsid w:val="009941E9"/>
    <w:rsid w:val="0099474D"/>
    <w:rsid w:val="00997EA3"/>
    <w:rsid w:val="009A07EC"/>
    <w:rsid w:val="009A1B61"/>
    <w:rsid w:val="009A38BA"/>
    <w:rsid w:val="009A3A46"/>
    <w:rsid w:val="009A4471"/>
    <w:rsid w:val="009A5FE5"/>
    <w:rsid w:val="009A6019"/>
    <w:rsid w:val="009A6261"/>
    <w:rsid w:val="009B3301"/>
    <w:rsid w:val="009B3E7E"/>
    <w:rsid w:val="009B5361"/>
    <w:rsid w:val="009B55A0"/>
    <w:rsid w:val="009B63D7"/>
    <w:rsid w:val="009C12F5"/>
    <w:rsid w:val="009C2CAD"/>
    <w:rsid w:val="009C356D"/>
    <w:rsid w:val="009C4619"/>
    <w:rsid w:val="009C50A8"/>
    <w:rsid w:val="009C5406"/>
    <w:rsid w:val="009C640C"/>
    <w:rsid w:val="009D071B"/>
    <w:rsid w:val="009D0B59"/>
    <w:rsid w:val="009D1644"/>
    <w:rsid w:val="009D2076"/>
    <w:rsid w:val="009D40D0"/>
    <w:rsid w:val="009D4C0D"/>
    <w:rsid w:val="009E1AF2"/>
    <w:rsid w:val="009E1D35"/>
    <w:rsid w:val="009E50D8"/>
    <w:rsid w:val="009E658A"/>
    <w:rsid w:val="009E6B0F"/>
    <w:rsid w:val="009F0556"/>
    <w:rsid w:val="009F056E"/>
    <w:rsid w:val="009F0786"/>
    <w:rsid w:val="009F0BA3"/>
    <w:rsid w:val="009F18E1"/>
    <w:rsid w:val="009F2144"/>
    <w:rsid w:val="009F2BAD"/>
    <w:rsid w:val="009F3364"/>
    <w:rsid w:val="009F3825"/>
    <w:rsid w:val="009F4891"/>
    <w:rsid w:val="009F5081"/>
    <w:rsid w:val="009F6201"/>
    <w:rsid w:val="009F6305"/>
    <w:rsid w:val="00A00B3D"/>
    <w:rsid w:val="00A01537"/>
    <w:rsid w:val="00A019A4"/>
    <w:rsid w:val="00A023F8"/>
    <w:rsid w:val="00A02DE8"/>
    <w:rsid w:val="00A0333B"/>
    <w:rsid w:val="00A033A9"/>
    <w:rsid w:val="00A04EB0"/>
    <w:rsid w:val="00A0596E"/>
    <w:rsid w:val="00A075E2"/>
    <w:rsid w:val="00A12237"/>
    <w:rsid w:val="00A12546"/>
    <w:rsid w:val="00A13CBA"/>
    <w:rsid w:val="00A16708"/>
    <w:rsid w:val="00A224CB"/>
    <w:rsid w:val="00A23B5D"/>
    <w:rsid w:val="00A25DF6"/>
    <w:rsid w:val="00A30064"/>
    <w:rsid w:val="00A3213F"/>
    <w:rsid w:val="00A33171"/>
    <w:rsid w:val="00A334EF"/>
    <w:rsid w:val="00A349F2"/>
    <w:rsid w:val="00A3534A"/>
    <w:rsid w:val="00A358D7"/>
    <w:rsid w:val="00A36071"/>
    <w:rsid w:val="00A378C4"/>
    <w:rsid w:val="00A40747"/>
    <w:rsid w:val="00A40DE0"/>
    <w:rsid w:val="00A41F5A"/>
    <w:rsid w:val="00A42184"/>
    <w:rsid w:val="00A433F8"/>
    <w:rsid w:val="00A44EC7"/>
    <w:rsid w:val="00A45B78"/>
    <w:rsid w:val="00A4764D"/>
    <w:rsid w:val="00A51AE3"/>
    <w:rsid w:val="00A52345"/>
    <w:rsid w:val="00A528B7"/>
    <w:rsid w:val="00A54034"/>
    <w:rsid w:val="00A54A92"/>
    <w:rsid w:val="00A54FB3"/>
    <w:rsid w:val="00A551B7"/>
    <w:rsid w:val="00A56213"/>
    <w:rsid w:val="00A56DAE"/>
    <w:rsid w:val="00A61DC1"/>
    <w:rsid w:val="00A6266E"/>
    <w:rsid w:val="00A640DF"/>
    <w:rsid w:val="00A64F0F"/>
    <w:rsid w:val="00A65407"/>
    <w:rsid w:val="00A6671C"/>
    <w:rsid w:val="00A67E7A"/>
    <w:rsid w:val="00A701C4"/>
    <w:rsid w:val="00A7443B"/>
    <w:rsid w:val="00A74FA6"/>
    <w:rsid w:val="00A750A7"/>
    <w:rsid w:val="00A750EE"/>
    <w:rsid w:val="00A75B22"/>
    <w:rsid w:val="00A7613B"/>
    <w:rsid w:val="00A82C84"/>
    <w:rsid w:val="00A831AD"/>
    <w:rsid w:val="00A83254"/>
    <w:rsid w:val="00A83A5B"/>
    <w:rsid w:val="00A84123"/>
    <w:rsid w:val="00A84E82"/>
    <w:rsid w:val="00A86D5D"/>
    <w:rsid w:val="00A86DF5"/>
    <w:rsid w:val="00A90DA2"/>
    <w:rsid w:val="00A9289E"/>
    <w:rsid w:val="00A92CA3"/>
    <w:rsid w:val="00A92E79"/>
    <w:rsid w:val="00A93782"/>
    <w:rsid w:val="00A952CD"/>
    <w:rsid w:val="00A96F33"/>
    <w:rsid w:val="00A97AD7"/>
    <w:rsid w:val="00AA02A1"/>
    <w:rsid w:val="00AA0710"/>
    <w:rsid w:val="00AA11DE"/>
    <w:rsid w:val="00AA219E"/>
    <w:rsid w:val="00AA290F"/>
    <w:rsid w:val="00AA2C25"/>
    <w:rsid w:val="00AA2D50"/>
    <w:rsid w:val="00AA2E83"/>
    <w:rsid w:val="00AA3640"/>
    <w:rsid w:val="00AA5363"/>
    <w:rsid w:val="00AA649A"/>
    <w:rsid w:val="00AA6EB2"/>
    <w:rsid w:val="00AA6F75"/>
    <w:rsid w:val="00AB046A"/>
    <w:rsid w:val="00AB1D21"/>
    <w:rsid w:val="00AB2F25"/>
    <w:rsid w:val="00AB3277"/>
    <w:rsid w:val="00AB35CC"/>
    <w:rsid w:val="00AB5BEA"/>
    <w:rsid w:val="00AB5FFE"/>
    <w:rsid w:val="00AB67DC"/>
    <w:rsid w:val="00AB6F6C"/>
    <w:rsid w:val="00AB7A5D"/>
    <w:rsid w:val="00AC184F"/>
    <w:rsid w:val="00AC43E9"/>
    <w:rsid w:val="00AC4FCD"/>
    <w:rsid w:val="00AC5549"/>
    <w:rsid w:val="00AC6172"/>
    <w:rsid w:val="00AC6726"/>
    <w:rsid w:val="00AD18BC"/>
    <w:rsid w:val="00AD252C"/>
    <w:rsid w:val="00AD4BAB"/>
    <w:rsid w:val="00AD58F8"/>
    <w:rsid w:val="00AD5DAD"/>
    <w:rsid w:val="00AD658B"/>
    <w:rsid w:val="00AD6966"/>
    <w:rsid w:val="00AD7530"/>
    <w:rsid w:val="00AD754F"/>
    <w:rsid w:val="00AD78F2"/>
    <w:rsid w:val="00AE1859"/>
    <w:rsid w:val="00AE2052"/>
    <w:rsid w:val="00AE24D7"/>
    <w:rsid w:val="00AE3A7E"/>
    <w:rsid w:val="00AE3E9A"/>
    <w:rsid w:val="00AE4CA7"/>
    <w:rsid w:val="00AE4DEA"/>
    <w:rsid w:val="00AE5A78"/>
    <w:rsid w:val="00AE77F8"/>
    <w:rsid w:val="00AF3B65"/>
    <w:rsid w:val="00AF4FB3"/>
    <w:rsid w:val="00AF5B68"/>
    <w:rsid w:val="00AF6E8B"/>
    <w:rsid w:val="00AF75C5"/>
    <w:rsid w:val="00B005DA"/>
    <w:rsid w:val="00B02C3C"/>
    <w:rsid w:val="00B04403"/>
    <w:rsid w:val="00B04FE3"/>
    <w:rsid w:val="00B06CD9"/>
    <w:rsid w:val="00B075C8"/>
    <w:rsid w:val="00B07D0C"/>
    <w:rsid w:val="00B13319"/>
    <w:rsid w:val="00B14CB8"/>
    <w:rsid w:val="00B160FE"/>
    <w:rsid w:val="00B165E7"/>
    <w:rsid w:val="00B1755C"/>
    <w:rsid w:val="00B175A4"/>
    <w:rsid w:val="00B203B7"/>
    <w:rsid w:val="00B20EEE"/>
    <w:rsid w:val="00B23D45"/>
    <w:rsid w:val="00B24448"/>
    <w:rsid w:val="00B24857"/>
    <w:rsid w:val="00B24F82"/>
    <w:rsid w:val="00B258EA"/>
    <w:rsid w:val="00B2608F"/>
    <w:rsid w:val="00B26ECA"/>
    <w:rsid w:val="00B300AA"/>
    <w:rsid w:val="00B3125F"/>
    <w:rsid w:val="00B32BDB"/>
    <w:rsid w:val="00B32FC5"/>
    <w:rsid w:val="00B335A4"/>
    <w:rsid w:val="00B350E1"/>
    <w:rsid w:val="00B355E2"/>
    <w:rsid w:val="00B3728F"/>
    <w:rsid w:val="00B40D29"/>
    <w:rsid w:val="00B40F98"/>
    <w:rsid w:val="00B413B8"/>
    <w:rsid w:val="00B42D00"/>
    <w:rsid w:val="00B45654"/>
    <w:rsid w:val="00B4644A"/>
    <w:rsid w:val="00B46D96"/>
    <w:rsid w:val="00B46F7B"/>
    <w:rsid w:val="00B47A05"/>
    <w:rsid w:val="00B53014"/>
    <w:rsid w:val="00B53DA1"/>
    <w:rsid w:val="00B54F68"/>
    <w:rsid w:val="00B54FB5"/>
    <w:rsid w:val="00B56117"/>
    <w:rsid w:val="00B57A04"/>
    <w:rsid w:val="00B57C7A"/>
    <w:rsid w:val="00B64AEC"/>
    <w:rsid w:val="00B65F09"/>
    <w:rsid w:val="00B70090"/>
    <w:rsid w:val="00B708E3"/>
    <w:rsid w:val="00B718A2"/>
    <w:rsid w:val="00B76068"/>
    <w:rsid w:val="00B76F0E"/>
    <w:rsid w:val="00B76F31"/>
    <w:rsid w:val="00B8117B"/>
    <w:rsid w:val="00B82E30"/>
    <w:rsid w:val="00B8531E"/>
    <w:rsid w:val="00B85423"/>
    <w:rsid w:val="00B872DB"/>
    <w:rsid w:val="00B93420"/>
    <w:rsid w:val="00B947F4"/>
    <w:rsid w:val="00B956D9"/>
    <w:rsid w:val="00B965CF"/>
    <w:rsid w:val="00B97CAE"/>
    <w:rsid w:val="00BA0616"/>
    <w:rsid w:val="00BA13EA"/>
    <w:rsid w:val="00BA23F0"/>
    <w:rsid w:val="00BA263E"/>
    <w:rsid w:val="00BA54AD"/>
    <w:rsid w:val="00BA5B69"/>
    <w:rsid w:val="00BA6484"/>
    <w:rsid w:val="00BA7CDA"/>
    <w:rsid w:val="00BB0BF0"/>
    <w:rsid w:val="00BB1A44"/>
    <w:rsid w:val="00BB1E3A"/>
    <w:rsid w:val="00BB2235"/>
    <w:rsid w:val="00BB2E66"/>
    <w:rsid w:val="00BB3960"/>
    <w:rsid w:val="00BB414A"/>
    <w:rsid w:val="00BB4C36"/>
    <w:rsid w:val="00BB4D26"/>
    <w:rsid w:val="00BB519C"/>
    <w:rsid w:val="00BB5AA7"/>
    <w:rsid w:val="00BC0F88"/>
    <w:rsid w:val="00BC2DD2"/>
    <w:rsid w:val="00BC3596"/>
    <w:rsid w:val="00BC3768"/>
    <w:rsid w:val="00BC544F"/>
    <w:rsid w:val="00BC5474"/>
    <w:rsid w:val="00BD6BA6"/>
    <w:rsid w:val="00BD7C58"/>
    <w:rsid w:val="00BE0204"/>
    <w:rsid w:val="00BE3147"/>
    <w:rsid w:val="00BE524C"/>
    <w:rsid w:val="00BE658A"/>
    <w:rsid w:val="00BE7E56"/>
    <w:rsid w:val="00BF3383"/>
    <w:rsid w:val="00BF44CC"/>
    <w:rsid w:val="00BF50E7"/>
    <w:rsid w:val="00C01BA3"/>
    <w:rsid w:val="00C03DB5"/>
    <w:rsid w:val="00C05D7D"/>
    <w:rsid w:val="00C06479"/>
    <w:rsid w:val="00C06C96"/>
    <w:rsid w:val="00C07555"/>
    <w:rsid w:val="00C11777"/>
    <w:rsid w:val="00C12048"/>
    <w:rsid w:val="00C13BF4"/>
    <w:rsid w:val="00C15062"/>
    <w:rsid w:val="00C1589B"/>
    <w:rsid w:val="00C16B43"/>
    <w:rsid w:val="00C1774F"/>
    <w:rsid w:val="00C177EE"/>
    <w:rsid w:val="00C201E9"/>
    <w:rsid w:val="00C21937"/>
    <w:rsid w:val="00C25BA4"/>
    <w:rsid w:val="00C27B6F"/>
    <w:rsid w:val="00C301BF"/>
    <w:rsid w:val="00C303A3"/>
    <w:rsid w:val="00C3114E"/>
    <w:rsid w:val="00C31922"/>
    <w:rsid w:val="00C326EC"/>
    <w:rsid w:val="00C33825"/>
    <w:rsid w:val="00C33B7C"/>
    <w:rsid w:val="00C3689D"/>
    <w:rsid w:val="00C37335"/>
    <w:rsid w:val="00C3791B"/>
    <w:rsid w:val="00C41CF2"/>
    <w:rsid w:val="00C42D9F"/>
    <w:rsid w:val="00C46B2E"/>
    <w:rsid w:val="00C47161"/>
    <w:rsid w:val="00C512CA"/>
    <w:rsid w:val="00C51404"/>
    <w:rsid w:val="00C51BC8"/>
    <w:rsid w:val="00C53A4D"/>
    <w:rsid w:val="00C53EFE"/>
    <w:rsid w:val="00C549DF"/>
    <w:rsid w:val="00C54E60"/>
    <w:rsid w:val="00C55E64"/>
    <w:rsid w:val="00C56E31"/>
    <w:rsid w:val="00C578B5"/>
    <w:rsid w:val="00C57A18"/>
    <w:rsid w:val="00C6100B"/>
    <w:rsid w:val="00C622ED"/>
    <w:rsid w:val="00C623EC"/>
    <w:rsid w:val="00C647AE"/>
    <w:rsid w:val="00C64C4D"/>
    <w:rsid w:val="00C64CC0"/>
    <w:rsid w:val="00C6577A"/>
    <w:rsid w:val="00C66EDE"/>
    <w:rsid w:val="00C673C6"/>
    <w:rsid w:val="00C70319"/>
    <w:rsid w:val="00C70898"/>
    <w:rsid w:val="00C721A1"/>
    <w:rsid w:val="00C72787"/>
    <w:rsid w:val="00C7314A"/>
    <w:rsid w:val="00C7391B"/>
    <w:rsid w:val="00C73993"/>
    <w:rsid w:val="00C74210"/>
    <w:rsid w:val="00C74625"/>
    <w:rsid w:val="00C762FC"/>
    <w:rsid w:val="00C76993"/>
    <w:rsid w:val="00C77560"/>
    <w:rsid w:val="00C82B51"/>
    <w:rsid w:val="00C83593"/>
    <w:rsid w:val="00C848D5"/>
    <w:rsid w:val="00C85975"/>
    <w:rsid w:val="00C865E5"/>
    <w:rsid w:val="00C86AE1"/>
    <w:rsid w:val="00C86C23"/>
    <w:rsid w:val="00C87881"/>
    <w:rsid w:val="00C925CF"/>
    <w:rsid w:val="00C92A95"/>
    <w:rsid w:val="00C9328A"/>
    <w:rsid w:val="00C93734"/>
    <w:rsid w:val="00C93A22"/>
    <w:rsid w:val="00C94183"/>
    <w:rsid w:val="00C94371"/>
    <w:rsid w:val="00C95281"/>
    <w:rsid w:val="00C95596"/>
    <w:rsid w:val="00C96449"/>
    <w:rsid w:val="00C96997"/>
    <w:rsid w:val="00CA092A"/>
    <w:rsid w:val="00CA13A9"/>
    <w:rsid w:val="00CA2B5F"/>
    <w:rsid w:val="00CA39BD"/>
    <w:rsid w:val="00CA741C"/>
    <w:rsid w:val="00CA755D"/>
    <w:rsid w:val="00CB0596"/>
    <w:rsid w:val="00CB151F"/>
    <w:rsid w:val="00CB2753"/>
    <w:rsid w:val="00CB33DF"/>
    <w:rsid w:val="00CB4B66"/>
    <w:rsid w:val="00CB4BE0"/>
    <w:rsid w:val="00CB5E3B"/>
    <w:rsid w:val="00CB63A1"/>
    <w:rsid w:val="00CB720A"/>
    <w:rsid w:val="00CB7323"/>
    <w:rsid w:val="00CB74F5"/>
    <w:rsid w:val="00CC165C"/>
    <w:rsid w:val="00CC4810"/>
    <w:rsid w:val="00CC64FB"/>
    <w:rsid w:val="00CC6E47"/>
    <w:rsid w:val="00CC70FF"/>
    <w:rsid w:val="00CD102D"/>
    <w:rsid w:val="00CD109C"/>
    <w:rsid w:val="00CD1866"/>
    <w:rsid w:val="00CD2C29"/>
    <w:rsid w:val="00CD2D36"/>
    <w:rsid w:val="00CD35DA"/>
    <w:rsid w:val="00CD3886"/>
    <w:rsid w:val="00CD4A5D"/>
    <w:rsid w:val="00CD57BB"/>
    <w:rsid w:val="00CD5E51"/>
    <w:rsid w:val="00CD76CB"/>
    <w:rsid w:val="00CE18C7"/>
    <w:rsid w:val="00CE2828"/>
    <w:rsid w:val="00CE2E8D"/>
    <w:rsid w:val="00CE3319"/>
    <w:rsid w:val="00CE3B57"/>
    <w:rsid w:val="00CE410E"/>
    <w:rsid w:val="00CE68A7"/>
    <w:rsid w:val="00CE6A7F"/>
    <w:rsid w:val="00CE7A19"/>
    <w:rsid w:val="00CF039C"/>
    <w:rsid w:val="00CF0C43"/>
    <w:rsid w:val="00CF10BB"/>
    <w:rsid w:val="00CF1E32"/>
    <w:rsid w:val="00CF34DD"/>
    <w:rsid w:val="00CF5E19"/>
    <w:rsid w:val="00D0125C"/>
    <w:rsid w:val="00D031FE"/>
    <w:rsid w:val="00D0479F"/>
    <w:rsid w:val="00D05201"/>
    <w:rsid w:val="00D113E4"/>
    <w:rsid w:val="00D11558"/>
    <w:rsid w:val="00D134AB"/>
    <w:rsid w:val="00D14537"/>
    <w:rsid w:val="00D14770"/>
    <w:rsid w:val="00D153D3"/>
    <w:rsid w:val="00D15706"/>
    <w:rsid w:val="00D166DB"/>
    <w:rsid w:val="00D20BD9"/>
    <w:rsid w:val="00D22194"/>
    <w:rsid w:val="00D22CF1"/>
    <w:rsid w:val="00D233E6"/>
    <w:rsid w:val="00D25CE0"/>
    <w:rsid w:val="00D2605B"/>
    <w:rsid w:val="00D260B0"/>
    <w:rsid w:val="00D266CF"/>
    <w:rsid w:val="00D26A4A"/>
    <w:rsid w:val="00D26DDD"/>
    <w:rsid w:val="00D305C2"/>
    <w:rsid w:val="00D308F8"/>
    <w:rsid w:val="00D323EF"/>
    <w:rsid w:val="00D32AD8"/>
    <w:rsid w:val="00D346BE"/>
    <w:rsid w:val="00D348ED"/>
    <w:rsid w:val="00D35AF5"/>
    <w:rsid w:val="00D35CE5"/>
    <w:rsid w:val="00D3753F"/>
    <w:rsid w:val="00D37888"/>
    <w:rsid w:val="00D37B73"/>
    <w:rsid w:val="00D4282E"/>
    <w:rsid w:val="00D428F9"/>
    <w:rsid w:val="00D43938"/>
    <w:rsid w:val="00D46000"/>
    <w:rsid w:val="00D47A94"/>
    <w:rsid w:val="00D50A6F"/>
    <w:rsid w:val="00D52ABB"/>
    <w:rsid w:val="00D54685"/>
    <w:rsid w:val="00D554E0"/>
    <w:rsid w:val="00D5551B"/>
    <w:rsid w:val="00D55D40"/>
    <w:rsid w:val="00D57644"/>
    <w:rsid w:val="00D600B6"/>
    <w:rsid w:val="00D60887"/>
    <w:rsid w:val="00D627FB"/>
    <w:rsid w:val="00D62BF6"/>
    <w:rsid w:val="00D6463E"/>
    <w:rsid w:val="00D72157"/>
    <w:rsid w:val="00D74000"/>
    <w:rsid w:val="00D77D1B"/>
    <w:rsid w:val="00D81FEB"/>
    <w:rsid w:val="00D844FE"/>
    <w:rsid w:val="00D868E9"/>
    <w:rsid w:val="00D87681"/>
    <w:rsid w:val="00D91E93"/>
    <w:rsid w:val="00D925DD"/>
    <w:rsid w:val="00D9284B"/>
    <w:rsid w:val="00D938C9"/>
    <w:rsid w:val="00D93FEA"/>
    <w:rsid w:val="00D94B33"/>
    <w:rsid w:val="00D95B13"/>
    <w:rsid w:val="00D977D8"/>
    <w:rsid w:val="00DA16B7"/>
    <w:rsid w:val="00DA172E"/>
    <w:rsid w:val="00DA19C1"/>
    <w:rsid w:val="00DA27DF"/>
    <w:rsid w:val="00DA466B"/>
    <w:rsid w:val="00DA5D4E"/>
    <w:rsid w:val="00DA7A63"/>
    <w:rsid w:val="00DA7CAD"/>
    <w:rsid w:val="00DB0205"/>
    <w:rsid w:val="00DB024E"/>
    <w:rsid w:val="00DB1D8D"/>
    <w:rsid w:val="00DB520F"/>
    <w:rsid w:val="00DB5ABB"/>
    <w:rsid w:val="00DB5EE3"/>
    <w:rsid w:val="00DB7749"/>
    <w:rsid w:val="00DB7F61"/>
    <w:rsid w:val="00DC16B7"/>
    <w:rsid w:val="00DC255E"/>
    <w:rsid w:val="00DC40A7"/>
    <w:rsid w:val="00DC600D"/>
    <w:rsid w:val="00DC6199"/>
    <w:rsid w:val="00DD0E3B"/>
    <w:rsid w:val="00DD1DCD"/>
    <w:rsid w:val="00DD2826"/>
    <w:rsid w:val="00DD2FB3"/>
    <w:rsid w:val="00DD39EF"/>
    <w:rsid w:val="00DD5A72"/>
    <w:rsid w:val="00DD664C"/>
    <w:rsid w:val="00DD7937"/>
    <w:rsid w:val="00DD7A23"/>
    <w:rsid w:val="00DE1227"/>
    <w:rsid w:val="00DE2AAB"/>
    <w:rsid w:val="00DE355F"/>
    <w:rsid w:val="00DE399D"/>
    <w:rsid w:val="00DE3C13"/>
    <w:rsid w:val="00DE3DBE"/>
    <w:rsid w:val="00DE412D"/>
    <w:rsid w:val="00DE4B07"/>
    <w:rsid w:val="00DE5820"/>
    <w:rsid w:val="00DF0309"/>
    <w:rsid w:val="00DF45F1"/>
    <w:rsid w:val="00DF4616"/>
    <w:rsid w:val="00DF54E8"/>
    <w:rsid w:val="00DF6EE1"/>
    <w:rsid w:val="00DF73C5"/>
    <w:rsid w:val="00E006ED"/>
    <w:rsid w:val="00E010F8"/>
    <w:rsid w:val="00E0643C"/>
    <w:rsid w:val="00E07038"/>
    <w:rsid w:val="00E102E8"/>
    <w:rsid w:val="00E11FF7"/>
    <w:rsid w:val="00E13AA8"/>
    <w:rsid w:val="00E168B8"/>
    <w:rsid w:val="00E17661"/>
    <w:rsid w:val="00E17698"/>
    <w:rsid w:val="00E20A7D"/>
    <w:rsid w:val="00E21222"/>
    <w:rsid w:val="00E22408"/>
    <w:rsid w:val="00E2250A"/>
    <w:rsid w:val="00E22C63"/>
    <w:rsid w:val="00E25065"/>
    <w:rsid w:val="00E25152"/>
    <w:rsid w:val="00E26FEC"/>
    <w:rsid w:val="00E2707D"/>
    <w:rsid w:val="00E2713A"/>
    <w:rsid w:val="00E27B84"/>
    <w:rsid w:val="00E30461"/>
    <w:rsid w:val="00E323DF"/>
    <w:rsid w:val="00E33DCE"/>
    <w:rsid w:val="00E343BC"/>
    <w:rsid w:val="00E34669"/>
    <w:rsid w:val="00E34852"/>
    <w:rsid w:val="00E36EB2"/>
    <w:rsid w:val="00E40F3E"/>
    <w:rsid w:val="00E43AE6"/>
    <w:rsid w:val="00E51AFA"/>
    <w:rsid w:val="00E5446F"/>
    <w:rsid w:val="00E57738"/>
    <w:rsid w:val="00E627BC"/>
    <w:rsid w:val="00E651A7"/>
    <w:rsid w:val="00E65D0D"/>
    <w:rsid w:val="00E65D43"/>
    <w:rsid w:val="00E663CF"/>
    <w:rsid w:val="00E677B9"/>
    <w:rsid w:val="00E703D7"/>
    <w:rsid w:val="00E709CF"/>
    <w:rsid w:val="00E71356"/>
    <w:rsid w:val="00E73F27"/>
    <w:rsid w:val="00E755E7"/>
    <w:rsid w:val="00E80B36"/>
    <w:rsid w:val="00E80FCE"/>
    <w:rsid w:val="00E814B3"/>
    <w:rsid w:val="00E81A39"/>
    <w:rsid w:val="00E824B1"/>
    <w:rsid w:val="00E82F94"/>
    <w:rsid w:val="00E8450D"/>
    <w:rsid w:val="00E850D2"/>
    <w:rsid w:val="00E85E26"/>
    <w:rsid w:val="00E86A94"/>
    <w:rsid w:val="00E87D17"/>
    <w:rsid w:val="00E90BEF"/>
    <w:rsid w:val="00E90CA1"/>
    <w:rsid w:val="00E910E9"/>
    <w:rsid w:val="00E92D4C"/>
    <w:rsid w:val="00E92F3C"/>
    <w:rsid w:val="00E939B4"/>
    <w:rsid w:val="00E95464"/>
    <w:rsid w:val="00EA0732"/>
    <w:rsid w:val="00EA2746"/>
    <w:rsid w:val="00EA2B95"/>
    <w:rsid w:val="00EA32CA"/>
    <w:rsid w:val="00EA3D57"/>
    <w:rsid w:val="00EA451B"/>
    <w:rsid w:val="00EA6B36"/>
    <w:rsid w:val="00EA6D52"/>
    <w:rsid w:val="00EA7FBF"/>
    <w:rsid w:val="00EB0F26"/>
    <w:rsid w:val="00EB0F86"/>
    <w:rsid w:val="00EB2DA0"/>
    <w:rsid w:val="00EB3730"/>
    <w:rsid w:val="00EB37A2"/>
    <w:rsid w:val="00EB5C69"/>
    <w:rsid w:val="00EC324D"/>
    <w:rsid w:val="00EC3689"/>
    <w:rsid w:val="00EC4044"/>
    <w:rsid w:val="00EC4277"/>
    <w:rsid w:val="00EC4613"/>
    <w:rsid w:val="00EC53DF"/>
    <w:rsid w:val="00EC7593"/>
    <w:rsid w:val="00EC76AD"/>
    <w:rsid w:val="00ED2913"/>
    <w:rsid w:val="00ED3719"/>
    <w:rsid w:val="00ED40BC"/>
    <w:rsid w:val="00ED4C23"/>
    <w:rsid w:val="00ED4FAE"/>
    <w:rsid w:val="00ED5448"/>
    <w:rsid w:val="00ED57D5"/>
    <w:rsid w:val="00ED6472"/>
    <w:rsid w:val="00ED756E"/>
    <w:rsid w:val="00ED7742"/>
    <w:rsid w:val="00EE3FDC"/>
    <w:rsid w:val="00EE46B3"/>
    <w:rsid w:val="00EE498F"/>
    <w:rsid w:val="00EE5374"/>
    <w:rsid w:val="00EE715F"/>
    <w:rsid w:val="00EE77EA"/>
    <w:rsid w:val="00EF0871"/>
    <w:rsid w:val="00EF0E68"/>
    <w:rsid w:val="00EF5A40"/>
    <w:rsid w:val="00EF6275"/>
    <w:rsid w:val="00EF630B"/>
    <w:rsid w:val="00EF64E9"/>
    <w:rsid w:val="00EF7AF5"/>
    <w:rsid w:val="00F0084E"/>
    <w:rsid w:val="00F00DD8"/>
    <w:rsid w:val="00F029F2"/>
    <w:rsid w:val="00F03063"/>
    <w:rsid w:val="00F05DF1"/>
    <w:rsid w:val="00F12773"/>
    <w:rsid w:val="00F1337B"/>
    <w:rsid w:val="00F14D21"/>
    <w:rsid w:val="00F171F3"/>
    <w:rsid w:val="00F220D8"/>
    <w:rsid w:val="00F231DB"/>
    <w:rsid w:val="00F25ADE"/>
    <w:rsid w:val="00F269E2"/>
    <w:rsid w:val="00F30150"/>
    <w:rsid w:val="00F32B26"/>
    <w:rsid w:val="00F347B2"/>
    <w:rsid w:val="00F34AF9"/>
    <w:rsid w:val="00F34DD9"/>
    <w:rsid w:val="00F358EA"/>
    <w:rsid w:val="00F365DD"/>
    <w:rsid w:val="00F37766"/>
    <w:rsid w:val="00F402E0"/>
    <w:rsid w:val="00F41DD5"/>
    <w:rsid w:val="00F424E8"/>
    <w:rsid w:val="00F437A8"/>
    <w:rsid w:val="00F463BA"/>
    <w:rsid w:val="00F47BD1"/>
    <w:rsid w:val="00F50251"/>
    <w:rsid w:val="00F57CAC"/>
    <w:rsid w:val="00F61B5A"/>
    <w:rsid w:val="00F6459C"/>
    <w:rsid w:val="00F64B46"/>
    <w:rsid w:val="00F701F9"/>
    <w:rsid w:val="00F70BBF"/>
    <w:rsid w:val="00F72870"/>
    <w:rsid w:val="00F7462A"/>
    <w:rsid w:val="00F77664"/>
    <w:rsid w:val="00F77E8B"/>
    <w:rsid w:val="00F809F6"/>
    <w:rsid w:val="00F80A9B"/>
    <w:rsid w:val="00F818DC"/>
    <w:rsid w:val="00F82BB6"/>
    <w:rsid w:val="00F83713"/>
    <w:rsid w:val="00F84803"/>
    <w:rsid w:val="00F84D2A"/>
    <w:rsid w:val="00F91169"/>
    <w:rsid w:val="00F91663"/>
    <w:rsid w:val="00F919D7"/>
    <w:rsid w:val="00F91ADD"/>
    <w:rsid w:val="00F92A0A"/>
    <w:rsid w:val="00F92ECD"/>
    <w:rsid w:val="00F9367B"/>
    <w:rsid w:val="00F940BF"/>
    <w:rsid w:val="00F9487C"/>
    <w:rsid w:val="00F95C2E"/>
    <w:rsid w:val="00F96606"/>
    <w:rsid w:val="00F9716B"/>
    <w:rsid w:val="00F97642"/>
    <w:rsid w:val="00F97AAC"/>
    <w:rsid w:val="00FA0F72"/>
    <w:rsid w:val="00FA46D8"/>
    <w:rsid w:val="00FA47EB"/>
    <w:rsid w:val="00FA4BF8"/>
    <w:rsid w:val="00FA4E8C"/>
    <w:rsid w:val="00FA6A15"/>
    <w:rsid w:val="00FA7972"/>
    <w:rsid w:val="00FB0F96"/>
    <w:rsid w:val="00FB0FEC"/>
    <w:rsid w:val="00FB23CA"/>
    <w:rsid w:val="00FB4A02"/>
    <w:rsid w:val="00FB60C9"/>
    <w:rsid w:val="00FC28B8"/>
    <w:rsid w:val="00FC2C90"/>
    <w:rsid w:val="00FC3D6D"/>
    <w:rsid w:val="00FC4299"/>
    <w:rsid w:val="00FC621D"/>
    <w:rsid w:val="00FC6EA1"/>
    <w:rsid w:val="00FD0823"/>
    <w:rsid w:val="00FD297C"/>
    <w:rsid w:val="00FD6216"/>
    <w:rsid w:val="00FD7FB3"/>
    <w:rsid w:val="00FE0F59"/>
    <w:rsid w:val="00FE1000"/>
    <w:rsid w:val="00FE262D"/>
    <w:rsid w:val="00FE2706"/>
    <w:rsid w:val="00FE3517"/>
    <w:rsid w:val="00FE452A"/>
    <w:rsid w:val="00FE4B1C"/>
    <w:rsid w:val="00FE4D81"/>
    <w:rsid w:val="00FE69D4"/>
    <w:rsid w:val="00FE6F4B"/>
    <w:rsid w:val="00FF1082"/>
    <w:rsid w:val="00FF1952"/>
    <w:rsid w:val="00FF2907"/>
    <w:rsid w:val="00FF2E68"/>
    <w:rsid w:val="00FF5304"/>
    <w:rsid w:val="00FF700A"/>
    <w:rsid w:val="00FF71C8"/>
    <w:rsid w:val="00FF778C"/>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3F6FB9"/>
  <w15:chartTrackingRefBased/>
  <w15:docId w15:val="{C65ADC88-6583-4BE2-BE9D-EAF15D1A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448"/>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uiPriority w:val="99"/>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B24448"/>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link w:val="CommentText"/>
    <w:uiPriority w:val="99"/>
    <w:rsid w:val="00104FDC"/>
    <w:rPr>
      <w:rFonts w:ascii="Arial" w:hAnsi="Arial"/>
      <w:sz w:val="22"/>
      <w:lang w:val="en-GB" w:eastAsia="en-US"/>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11">
    <w:name w:val="Цветной список - Акцент 11"/>
    <w:basedOn w:val="Normal"/>
    <w:uiPriority w:val="99"/>
    <w:qFormat/>
    <w:rsid w:val="00C9328A"/>
    <w:pPr>
      <w:ind w:left="720"/>
    </w:p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eastAsia="en-US"/>
    </w:rPr>
  </w:style>
  <w:style w:type="character" w:customStyle="1" w:styleId="UnresolvedMention1">
    <w:name w:val="Unresolved Mention1"/>
    <w:uiPriority w:val="47"/>
    <w:rsid w:val="0018597D"/>
    <w:rPr>
      <w:color w:val="808080"/>
      <w:shd w:val="clear" w:color="auto" w:fill="E6E6E6"/>
    </w:rPr>
  </w:style>
  <w:style w:type="paragraph" w:styleId="ListParagraph">
    <w:name w:val="List Paragraph"/>
    <w:aliases w:val="Lapis Bulleted List,List Paragraph (numbered (a)),Абзац списка1,Bullets,List Paragraph1,List 100s,WB Para,Project Profile name,Dot pt,F5 List Paragraph,No Spacing1,List Paragraph Char Char Char,Indicator Text,3,L,Heading,Numbered Para 1"/>
    <w:basedOn w:val="Normal"/>
    <w:link w:val="ListParagraphChar"/>
    <w:qFormat/>
    <w:rsid w:val="00B57C7A"/>
    <w:pPr>
      <w:spacing w:after="0"/>
      <w:ind w:left="720"/>
      <w:contextualSpacing/>
      <w:jc w:val="left"/>
    </w:pPr>
    <w:rPr>
      <w:rFonts w:ascii="Calibri" w:eastAsia="Calibri" w:hAnsi="Calibri"/>
      <w:sz w:val="24"/>
      <w:lang w:val="en-US"/>
    </w:rPr>
  </w:style>
  <w:style w:type="character" w:customStyle="1" w:styleId="ListParagraphChar">
    <w:name w:val="List Paragraph Char"/>
    <w:aliases w:val="Lapis Bulleted List Char,List Paragraph (numbered (a)) Char,Абзац списка1 Char,Bullets Char,List Paragraph1 Char,List 100s Char,WB Para Char,Project Profile name Char,Dot pt Char,F5 List Paragraph Char,No Spacing1 Char,3 Char,L Char"/>
    <w:link w:val="ListParagraph"/>
    <w:qFormat/>
    <w:locked/>
    <w:rsid w:val="00B57C7A"/>
    <w:rPr>
      <w:rFonts w:ascii="Calibri" w:eastAsia="Calibri" w:hAnsi="Calibri"/>
      <w:sz w:val="24"/>
      <w:szCs w:val="24"/>
    </w:rPr>
  </w:style>
  <w:style w:type="paragraph" w:styleId="Revision">
    <w:name w:val="Revision"/>
    <w:hidden/>
    <w:uiPriority w:val="71"/>
    <w:rsid w:val="00B24448"/>
    <w:rPr>
      <w:rFonts w:ascii="Arial" w:hAnsi="Arial"/>
      <w:sz w:val="22"/>
      <w:szCs w:val="24"/>
      <w:lang w:val="en-GB" w:eastAsia="en-US"/>
    </w:rPr>
  </w:style>
  <w:style w:type="paragraph" w:customStyle="1" w:styleId="yiv7809038108msonormal">
    <w:name w:val="yiv7809038108msonormal"/>
    <w:basedOn w:val="Normal"/>
    <w:rsid w:val="004071C0"/>
    <w:pPr>
      <w:spacing w:before="100" w:beforeAutospacing="1" w:after="100" w:afterAutospacing="1"/>
      <w:jc w:val="left"/>
    </w:pPr>
    <w:rPr>
      <w:rFonts w:ascii="Calibri" w:eastAsiaTheme="minorHAnsi" w:hAnsi="Calibri" w:cs="Calibri"/>
      <w:szCs w:val="22"/>
      <w:lang w:eastAsia="en-GB"/>
    </w:rPr>
  </w:style>
  <w:style w:type="character" w:customStyle="1" w:styleId="pseditboxdisponly">
    <w:name w:val="pseditbox_disponly"/>
    <w:basedOn w:val="DefaultParagraphFont"/>
    <w:rsid w:val="00E7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2400">
      <w:bodyDiv w:val="1"/>
      <w:marLeft w:val="0"/>
      <w:marRight w:val="0"/>
      <w:marTop w:val="0"/>
      <w:marBottom w:val="0"/>
      <w:divBdr>
        <w:top w:val="none" w:sz="0" w:space="0" w:color="auto"/>
        <w:left w:val="none" w:sz="0" w:space="0" w:color="auto"/>
        <w:bottom w:val="none" w:sz="0" w:space="0" w:color="auto"/>
        <w:right w:val="none" w:sz="0" w:space="0" w:color="auto"/>
      </w:divBdr>
      <w:divsChild>
        <w:div w:id="127556798">
          <w:marLeft w:val="0"/>
          <w:marRight w:val="0"/>
          <w:marTop w:val="0"/>
          <w:marBottom w:val="0"/>
          <w:divBdr>
            <w:top w:val="none" w:sz="0" w:space="0" w:color="auto"/>
            <w:left w:val="none" w:sz="0" w:space="0" w:color="auto"/>
            <w:bottom w:val="none" w:sz="0" w:space="0" w:color="auto"/>
            <w:right w:val="none" w:sz="0" w:space="0" w:color="auto"/>
          </w:divBdr>
          <w:divsChild>
            <w:div w:id="1570264180">
              <w:marLeft w:val="0"/>
              <w:marRight w:val="0"/>
              <w:marTop w:val="0"/>
              <w:marBottom w:val="0"/>
              <w:divBdr>
                <w:top w:val="none" w:sz="0" w:space="0" w:color="auto"/>
                <w:left w:val="none" w:sz="0" w:space="0" w:color="auto"/>
                <w:bottom w:val="none" w:sz="0" w:space="0" w:color="auto"/>
                <w:right w:val="none" w:sz="0" w:space="0" w:color="auto"/>
              </w:divBdr>
              <w:divsChild>
                <w:div w:id="1552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6152">
      <w:bodyDiv w:val="1"/>
      <w:marLeft w:val="0"/>
      <w:marRight w:val="0"/>
      <w:marTop w:val="0"/>
      <w:marBottom w:val="0"/>
      <w:divBdr>
        <w:top w:val="none" w:sz="0" w:space="0" w:color="auto"/>
        <w:left w:val="none" w:sz="0" w:space="0" w:color="auto"/>
        <w:bottom w:val="none" w:sz="0" w:space="0" w:color="auto"/>
        <w:right w:val="none" w:sz="0" w:space="0" w:color="auto"/>
      </w:divBdr>
    </w:div>
    <w:div w:id="201869404">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647199941">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10178432">
      <w:bodyDiv w:val="1"/>
      <w:marLeft w:val="0"/>
      <w:marRight w:val="0"/>
      <w:marTop w:val="0"/>
      <w:marBottom w:val="0"/>
      <w:divBdr>
        <w:top w:val="none" w:sz="0" w:space="0" w:color="auto"/>
        <w:left w:val="none" w:sz="0" w:space="0" w:color="auto"/>
        <w:bottom w:val="none" w:sz="0" w:space="0" w:color="auto"/>
        <w:right w:val="none" w:sz="0" w:space="0" w:color="auto"/>
      </w:divBdr>
      <w:divsChild>
        <w:div w:id="2065788748">
          <w:marLeft w:val="0"/>
          <w:marRight w:val="0"/>
          <w:marTop w:val="0"/>
          <w:marBottom w:val="0"/>
          <w:divBdr>
            <w:top w:val="none" w:sz="0" w:space="0" w:color="auto"/>
            <w:left w:val="none" w:sz="0" w:space="0" w:color="auto"/>
            <w:bottom w:val="none" w:sz="0" w:space="0" w:color="auto"/>
            <w:right w:val="none" w:sz="0" w:space="0" w:color="auto"/>
          </w:divBdr>
        </w:div>
        <w:div w:id="597445396">
          <w:marLeft w:val="0"/>
          <w:marRight w:val="0"/>
          <w:marTop w:val="0"/>
          <w:marBottom w:val="0"/>
          <w:divBdr>
            <w:top w:val="none" w:sz="0" w:space="0" w:color="auto"/>
            <w:left w:val="none" w:sz="0" w:space="0" w:color="auto"/>
            <w:bottom w:val="none" w:sz="0" w:space="0" w:color="auto"/>
            <w:right w:val="none" w:sz="0" w:space="0" w:color="auto"/>
          </w:divBdr>
          <w:divsChild>
            <w:div w:id="1354530414">
              <w:marLeft w:val="0"/>
              <w:marRight w:val="0"/>
              <w:marTop w:val="0"/>
              <w:marBottom w:val="0"/>
              <w:divBdr>
                <w:top w:val="none" w:sz="0" w:space="0" w:color="auto"/>
                <w:left w:val="none" w:sz="0" w:space="0" w:color="auto"/>
                <w:bottom w:val="none" w:sz="0" w:space="0" w:color="auto"/>
                <w:right w:val="none" w:sz="0" w:space="0" w:color="auto"/>
              </w:divBdr>
            </w:div>
            <w:div w:id="2250707">
              <w:marLeft w:val="0"/>
              <w:marRight w:val="0"/>
              <w:marTop w:val="0"/>
              <w:marBottom w:val="0"/>
              <w:divBdr>
                <w:top w:val="none" w:sz="0" w:space="0" w:color="auto"/>
                <w:left w:val="none" w:sz="0" w:space="0" w:color="auto"/>
                <w:bottom w:val="none" w:sz="0" w:space="0" w:color="auto"/>
                <w:right w:val="none" w:sz="0" w:space="0" w:color="auto"/>
              </w:divBdr>
            </w:div>
            <w:div w:id="185599481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2021-02-28T05:00:00+00:00</Document_x0020_Coverage_x0020_Period_x0020_End_x0020_Date>
    <Project_x0020_Number xmlns="f1161f5b-24a3-4c2d-bc81-44cb9325e8ee" xsi:nil="true"/>
    <Project_x0020_Manager xmlns="f1161f5b-24a3-4c2d-bc81-44cb9325e8ee" xsi:nil="true"/>
    <TaxCatchAll xmlns="1ed4137b-41b2-488b-8250-6d369ec27664">
      <Value>1110</Value>
      <Value>1479</Value>
      <Value>1</Value>
      <Value>763</Value>
    </TaxCatchAll>
    <c4e2ab2cc9354bbf9064eeb465a566ea xmlns="1ed4137b-41b2-488b-8250-6d369ec27664">
      <Terms xmlns="http://schemas.microsoft.com/office/infopath/2007/PartnerControls"/>
    </c4e2ab2cc9354bbf9064eeb465a566ea>
    <UndpProjectNo xmlns="1ed4137b-41b2-488b-8250-6d369ec27664">00125419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ATLASPDC-4-127186</_dlc_DocId>
    <_dlc_DocIdUrl xmlns="f1161f5b-24a3-4c2d-bc81-44cb9325e8ee">
      <Url>https://info.undp.org/docs/pdc/_layouts/DocIdRedir.aspx?ID=ATLASPDC-4-127186</Url>
      <Description>ATLASPDC-4-127186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8D20A-F3E7-48A4-8A77-565356CB592D}">
  <ds:schemaRefs>
    <ds:schemaRef ds:uri="http://schemas.microsoft.com/sharepoint/v3/contenttype/forms"/>
  </ds:schemaRefs>
</ds:datastoreItem>
</file>

<file path=customXml/itemProps2.xml><?xml version="1.0" encoding="utf-8"?>
<ds:datastoreItem xmlns:ds="http://schemas.openxmlformats.org/officeDocument/2006/customXml" ds:itemID="{0BC6D355-D9B0-42B5-AD3D-DA882910DEB8}"/>
</file>

<file path=customXml/itemProps3.xml><?xml version="1.0" encoding="utf-8"?>
<ds:datastoreItem xmlns:ds="http://schemas.openxmlformats.org/officeDocument/2006/customXml" ds:itemID="{B3974750-643B-4EDE-BF96-2F197FE5D1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B635F7-E1DD-41F6-B607-5037087070D1}">
  <ds:schemaRefs>
    <ds:schemaRef ds:uri="http://schemas.microsoft.com/office/2006/metadata/longProperties"/>
  </ds:schemaRefs>
</ds:datastoreItem>
</file>

<file path=customXml/itemProps5.xml><?xml version="1.0" encoding="utf-8"?>
<ds:datastoreItem xmlns:ds="http://schemas.openxmlformats.org/officeDocument/2006/customXml" ds:itemID="{AA4BDB24-4CCE-4BB0-856B-3353FF02B1A2}">
  <ds:schemaRefs>
    <ds:schemaRef ds:uri="http://schemas.openxmlformats.org/officeDocument/2006/bibliography"/>
  </ds:schemaRefs>
</ds:datastoreItem>
</file>

<file path=customXml/itemProps6.xml><?xml version="1.0" encoding="utf-8"?>
<ds:datastoreItem xmlns:ds="http://schemas.openxmlformats.org/officeDocument/2006/customXml" ds:itemID="{EDB6D9A8-C563-47DF-9C78-AD051272377D}"/>
</file>

<file path=customXml/itemProps7.xml><?xml version="1.0" encoding="utf-8"?>
<ds:datastoreItem xmlns:ds="http://schemas.openxmlformats.org/officeDocument/2006/customXml" ds:itemID="{FD7D1B86-1331-4B06-BFBC-278AF9572823}"/>
</file>

<file path=docProps/app.xml><?xml version="1.0" encoding="utf-8"?>
<Properties xmlns="http://schemas.openxmlformats.org/officeDocument/2006/extended-properties" xmlns:vt="http://schemas.openxmlformats.org/officeDocument/2006/docPropsVTypes">
  <Template>Normal</Template>
  <TotalTime>0</TotalTime>
  <Pages>3</Pages>
  <Words>8426</Words>
  <Characters>48031</Characters>
  <Application>Microsoft Office Word</Application>
  <DocSecurity>0</DocSecurity>
  <Lines>400</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56345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Maria Eugenia Herrera Lara</cp:lastModifiedBy>
  <cp:revision>2</cp:revision>
  <cp:lastPrinted>2020-02-13T15:56:00Z</cp:lastPrinted>
  <dcterms:created xsi:type="dcterms:W3CDTF">2020-12-16T21:07:00Z</dcterms:created>
  <dcterms:modified xsi:type="dcterms:W3CDTF">2020-12-16T21:07:00Z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0ec940d7-7b88-4840-b6e7-7f7747c4534a</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_POPP_VERSION_COMMENTS">
    <vt:lpwstr>Updated to add standard clauses on fraud and the gender marker</vt:lpwstr>
  </property>
  <property fmtid="{D5CDD505-2E9C-101B-9397-08002B2CF9AE}" pid="31" name="UNDP_POPP_BUSINESSPROCESS_HIDDEN">
    <vt:lpwstr/>
  </property>
  <property fmtid="{D5CDD505-2E9C-101B-9397-08002B2CF9AE}" pid="32" name="display_urn:schemas-microsoft-com:office:office#UNDP_POPP_FOCALPOINT">
    <vt:lpwstr>Jessica Murray</vt:lpwstr>
  </property>
  <property fmtid="{D5CDD505-2E9C-101B-9397-08002B2CF9AE}" pid="33" name="UNDP_POPP_NOTE">
    <vt:lpwstr/>
  </property>
  <property fmtid="{D5CDD505-2E9C-101B-9397-08002B2CF9AE}" pid="34" name="UNDP_POPP_REJECT_COMMENTS">
    <vt:lpwstr/>
  </property>
  <property fmtid="{D5CDD505-2E9C-101B-9397-08002B2CF9AE}" pid="35" name="UNDP_POPP_DOCUMENT_LANGUAGE">
    <vt:lpwstr>English</vt:lpwstr>
  </property>
  <property fmtid="{D5CDD505-2E9C-101B-9397-08002B2CF9AE}" pid="36" name="UNDP_POPP_EFFECTIVEDATE">
    <vt:lpwstr>2017-02-10T00:00:00Z</vt:lpwstr>
  </property>
  <property fmtid="{D5CDD505-2E9C-101B-9397-08002B2CF9AE}" pid="37" name="UNDP_POPP_FOCALPOINT">
    <vt:lpwstr>68;#i:0e.t|undpadfs|jessica.murray@undp.org</vt:lpwstr>
  </property>
  <property fmtid="{D5CDD505-2E9C-101B-9397-08002B2CF9AE}" pid="38" name="UNDP_POPP_DOCUMENT_TYPE">
    <vt:lpwstr>Template</vt:lpwstr>
  </property>
  <property fmtid="{D5CDD505-2E9C-101B-9397-08002B2CF9AE}" pid="39" name="UNDP_POPP_DOCUMENT_TEMPLATE">
    <vt:lpwstr/>
  </property>
  <property fmtid="{D5CDD505-2E9C-101B-9397-08002B2CF9AE}" pid="40" name="UNDP_POPP_ISACTIVE">
    <vt:lpwstr>1</vt:lpwstr>
  </property>
  <property fmtid="{D5CDD505-2E9C-101B-9397-08002B2CF9AE}" pid="41" name="UNDP_POPP_TITLE_EN">
    <vt:lpwstr>Project Document Template (2018)</vt:lpwstr>
  </property>
  <property fmtid="{D5CDD505-2E9C-101B-9397-08002B2CF9AE}" pid="42" name="Location">
    <vt:lpwstr>Public</vt:lpwstr>
  </property>
  <property fmtid="{D5CDD505-2E9C-101B-9397-08002B2CF9AE}" pid="43" name="UNDP_POPP_REFITEM_VERSION">
    <vt:lpwstr>1.00000000000000</vt:lpwstr>
  </property>
  <property fmtid="{D5CDD505-2E9C-101B-9397-08002B2CF9AE}" pid="44" name="UNDP_POPP_BUSINESSUNIT">
    <vt:lpwstr/>
  </property>
  <property fmtid="{D5CDD505-2E9C-101B-9397-08002B2CF9AE}" pid="45" name="l0e6ef0c43e74560bd7f3acd1f5e8571">
    <vt:lpwstr/>
  </property>
  <property fmtid="{D5CDD505-2E9C-101B-9397-08002B2CF9AE}" pid="46" name="POPPBusinessProcess">
    <vt:lpwstr/>
  </property>
  <property fmtid="{D5CDD505-2E9C-101B-9397-08002B2CF9AE}" pid="47" name="DLCPolicyLabelLock">
    <vt:lpwstr/>
  </property>
  <property fmtid="{D5CDD505-2E9C-101B-9397-08002B2CF9AE}" pid="48" name="DLCPolicyLabelClientValue">
    <vt:lpwstr>Effective Date: 10/02/2017                                                Version #: 1.0</vt:lpwstr>
  </property>
  <property fmtid="{D5CDD505-2E9C-101B-9397-08002B2CF9AE}" pid="49" name="UNDP_POPP_PLANNED_REVIEWDATE">
    <vt:lpwstr/>
  </property>
  <property fmtid="{D5CDD505-2E9C-101B-9397-08002B2CF9AE}" pid="50" name="UNDP_POPP_BUSINESSUNITID_HIDDEN">
    <vt:lpwstr/>
  </property>
  <property fmtid="{D5CDD505-2E9C-101B-9397-08002B2CF9AE}" pid="51" name="UNDP_POPP_FILEVERSION">
    <vt:lpwstr/>
  </property>
  <property fmtid="{D5CDD505-2E9C-101B-9397-08002B2CF9AE}" pid="52" name="UNDP_POPP_LASTMODIFIED">
    <vt:lpwstr/>
  </property>
  <property fmtid="{D5CDD505-2E9C-101B-9397-08002B2CF9AE}" pid="53" name="DLCPolicyLabelValue">
    <vt:lpwstr>Effective Date: 10/02/2017                                                Version #: 1.0</vt:lpwstr>
  </property>
  <property fmtid="{D5CDD505-2E9C-101B-9397-08002B2CF9AE}" pid="54" name="UNDPCountry">
    <vt:lpwstr/>
  </property>
  <property fmtid="{D5CDD505-2E9C-101B-9397-08002B2CF9AE}" pid="55" name="UN Languages">
    <vt:lpwstr>1;#English|7f98b732-4b5b-4b70-ba90-a0eff09b5d2d</vt:lpwstr>
  </property>
  <property fmtid="{D5CDD505-2E9C-101B-9397-08002B2CF9AE}" pid="56" name="Operating Unit0">
    <vt:lpwstr>1479;#LBY|aae4ffe6-e7a9-4060-9847-b64a408470ca</vt:lpwstr>
  </property>
  <property fmtid="{D5CDD505-2E9C-101B-9397-08002B2CF9AE}" pid="57" name="Atlas Document Status">
    <vt:lpwstr>763;#Draft|121d40a5-e62e-4d42-82e4-d6d12003de0a</vt:lpwstr>
  </property>
  <property fmtid="{D5CDD505-2E9C-101B-9397-08002B2CF9AE}" pid="58" name="Atlas Document Type">
    <vt:lpwstr>1110;#Prodoc|099f975e-b4d9-4bba-a499-dbcc387c61ad</vt:lpwstr>
  </property>
  <property fmtid="{D5CDD505-2E9C-101B-9397-08002B2CF9AE}" pid="59" name="eRegFilingCodeMM">
    <vt:lpwstr/>
  </property>
  <property fmtid="{D5CDD505-2E9C-101B-9397-08002B2CF9AE}" pid="60" name="UndpUnitMM">
    <vt:lpwstr/>
  </property>
  <property fmtid="{D5CDD505-2E9C-101B-9397-08002B2CF9AE}" pid="61" name="UNDPFocusAreas">
    <vt:lpwstr/>
  </property>
  <property fmtid="{D5CDD505-2E9C-101B-9397-08002B2CF9AE}" pid="62" name="UndpDocTypeMM">
    <vt:lpwstr/>
  </property>
  <property fmtid="{D5CDD505-2E9C-101B-9397-08002B2CF9AE}" pid="63" name="UNDPDocumentCategory">
    <vt:lpwstr/>
  </property>
  <property fmtid="{D5CDD505-2E9C-101B-9397-08002B2CF9AE}" pid="64" name="DocumentSetDescription">
    <vt:lpwstr/>
  </property>
  <property fmtid="{D5CDD505-2E9C-101B-9397-08002B2CF9AE}" pid="65" name="Unit">
    <vt:lpwstr/>
  </property>
  <property fmtid="{D5CDD505-2E9C-101B-9397-08002B2CF9AE}" pid="66" name="URL">
    <vt:lpwstr/>
  </property>
  <property fmtid="{D5CDD505-2E9C-101B-9397-08002B2CF9AE}" pid="67" name="UnitTaxHTField0">
    <vt:lpwstr/>
  </property>
</Properties>
</file>